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auto"/>
          <w:highlight w:val="none"/>
        </w:rPr>
      </w:pPr>
    </w:p>
    <w:p w14:paraId="4C7F06E8">
      <w:pPr>
        <w:jc w:val="center"/>
        <w:rPr>
          <w:color w:val="auto"/>
          <w:highlight w:val="none"/>
        </w:rPr>
      </w:pPr>
    </w:p>
    <w:p w14:paraId="0E01EB31">
      <w:pPr>
        <w:jc w:val="center"/>
        <w:rPr>
          <w:color w:val="auto"/>
          <w:highlight w:val="none"/>
        </w:rPr>
      </w:pPr>
    </w:p>
    <w:p w14:paraId="4709E3CF">
      <w:pPr>
        <w:spacing w:beforeLines="50" w:afterLines="50"/>
        <w:jc w:val="center"/>
        <w:outlineLvl w:val="0"/>
        <w:rPr>
          <w:b/>
          <w:bCs/>
          <w:color w:val="auto"/>
          <w:sz w:val="52"/>
          <w:szCs w:val="72"/>
          <w:highlight w:val="none"/>
        </w:rPr>
      </w:pPr>
      <w:bookmarkStart w:id="0" w:name="_Toc7243"/>
      <w:r>
        <w:rPr>
          <w:rFonts w:hint="eastAsia"/>
          <w:b/>
          <w:bCs/>
          <w:color w:val="auto"/>
          <w:sz w:val="52"/>
          <w:szCs w:val="72"/>
          <w:highlight w:val="none"/>
        </w:rPr>
        <w:t>国内采购</w:t>
      </w:r>
      <w:bookmarkEnd w:id="0"/>
    </w:p>
    <w:p w14:paraId="02D80120">
      <w:pPr>
        <w:spacing w:beforeLines="50" w:afterLines="50"/>
        <w:jc w:val="center"/>
        <w:outlineLvl w:val="0"/>
        <w:rPr>
          <w:b/>
          <w:bCs/>
          <w:color w:val="auto"/>
          <w:sz w:val="52"/>
          <w:szCs w:val="72"/>
          <w:highlight w:val="none"/>
        </w:rPr>
      </w:pPr>
      <w:bookmarkStart w:id="1" w:name="_Toc8734"/>
      <w:r>
        <w:rPr>
          <w:rFonts w:hint="eastAsia"/>
          <w:b/>
          <w:bCs/>
          <w:color w:val="auto"/>
          <w:sz w:val="52"/>
          <w:szCs w:val="72"/>
          <w:highlight w:val="none"/>
        </w:rPr>
        <w:t>公开招标文件</w:t>
      </w:r>
      <w:bookmarkEnd w:id="1"/>
    </w:p>
    <w:p w14:paraId="703C73F3">
      <w:pPr>
        <w:spacing w:beforeLines="50" w:afterLines="50"/>
        <w:jc w:val="center"/>
        <w:rPr>
          <w:b/>
          <w:bCs/>
          <w:color w:val="auto"/>
          <w:sz w:val="96"/>
          <w:szCs w:val="160"/>
          <w:highlight w:val="none"/>
        </w:rPr>
      </w:pPr>
      <w:r>
        <w:rPr>
          <w:b/>
          <w:bCs/>
          <w:color w:val="auto"/>
          <w:sz w:val="96"/>
          <w:szCs w:val="160"/>
          <w:highlight w:val="none"/>
        </w:rPr>
        <w:drawing>
          <wp:inline distT="0" distB="0" distL="0" distR="0">
            <wp:extent cx="1563370" cy="1588135"/>
            <wp:effectExtent l="0" t="0" r="17780" b="12065"/>
            <wp:docPr id="1026" name="图片 1" descr="国顺图形logo_00"/>
            <wp:cNvGraphicFramePr/>
            <a:graphic xmlns:a="http://schemas.openxmlformats.org/drawingml/2006/main">
              <a:graphicData uri="http://schemas.openxmlformats.org/drawingml/2006/picture">
                <pic:pic xmlns:pic="http://schemas.openxmlformats.org/drawingml/2006/picture">
                  <pic:nvPicPr>
                    <pic:cNvPr id="1026" name="图片 1" descr="国顺图形logo_00"/>
                    <pic:cNvPicPr/>
                  </pic:nvPicPr>
                  <pic:blipFill>
                    <a:blip r:embed="rId9" cstate="print"/>
                    <a:srcRect/>
                    <a:stretch>
                      <a:fillRect/>
                    </a:stretch>
                  </pic:blipFill>
                  <pic:spPr>
                    <a:xfrm>
                      <a:off x="0" y="0"/>
                      <a:ext cx="1563370" cy="1588135"/>
                    </a:xfrm>
                    <a:prstGeom prst="rect">
                      <a:avLst/>
                    </a:prstGeom>
                  </pic:spPr>
                </pic:pic>
              </a:graphicData>
            </a:graphic>
          </wp:inline>
        </w:drawing>
      </w:r>
    </w:p>
    <w:p w14:paraId="4CF1AC25">
      <w:pPr>
        <w:rPr>
          <w:color w:val="auto"/>
          <w:highlight w:val="none"/>
        </w:rPr>
      </w:pPr>
    </w:p>
    <w:p w14:paraId="731C1575">
      <w:pPr>
        <w:rPr>
          <w:color w:val="auto"/>
          <w:highlight w:val="none"/>
        </w:rPr>
      </w:pP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6106"/>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416" w:type="pct"/>
            <w:tcBorders>
              <w:top w:val="nil"/>
              <w:left w:val="nil"/>
              <w:bottom w:val="nil"/>
              <w:right w:val="nil"/>
            </w:tcBorders>
            <w:vAlign w:val="center"/>
          </w:tcPr>
          <w:p w14:paraId="7DD30E56">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3583" w:type="pct"/>
            <w:tcBorders>
              <w:top w:val="nil"/>
              <w:left w:val="nil"/>
              <w:bottom w:val="nil"/>
              <w:right w:val="nil"/>
            </w:tcBorders>
            <w:vAlign w:val="center"/>
          </w:tcPr>
          <w:p w14:paraId="76B9D800">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东莞市第二高级中学饭堂食材配送项目</w:t>
            </w:r>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A52A648">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3583" w:type="pct"/>
            <w:tcBorders>
              <w:top w:val="nil"/>
              <w:left w:val="nil"/>
              <w:bottom w:val="nil"/>
              <w:right w:val="nil"/>
            </w:tcBorders>
            <w:vAlign w:val="center"/>
          </w:tcPr>
          <w:p w14:paraId="404E8B4F">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GSDG2025-026C</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7C10AAB">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采购人</w:t>
            </w:r>
            <w:r>
              <w:rPr>
                <w:rFonts w:hint="eastAsia" w:ascii="黑体" w:hAnsi="黑体" w:eastAsia="黑体" w:cs="黑体"/>
                <w:color w:val="auto"/>
                <w:sz w:val="30"/>
                <w:szCs w:val="30"/>
                <w:highlight w:val="none"/>
              </w:rPr>
              <w:t>：</w:t>
            </w:r>
          </w:p>
        </w:tc>
        <w:tc>
          <w:tcPr>
            <w:tcW w:w="3583" w:type="pct"/>
            <w:tcBorders>
              <w:top w:val="nil"/>
              <w:left w:val="nil"/>
              <w:bottom w:val="nil"/>
              <w:right w:val="nil"/>
            </w:tcBorders>
            <w:vAlign w:val="center"/>
          </w:tcPr>
          <w:p w14:paraId="23362366">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东莞市第二高级中学</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5B6953A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招标代理机构：</w:t>
            </w:r>
          </w:p>
        </w:tc>
        <w:tc>
          <w:tcPr>
            <w:tcW w:w="3583" w:type="pct"/>
            <w:tcBorders>
              <w:top w:val="nil"/>
              <w:left w:val="nil"/>
              <w:bottom w:val="nil"/>
              <w:right w:val="nil"/>
            </w:tcBorders>
            <w:vAlign w:val="center"/>
          </w:tcPr>
          <w:p w14:paraId="3F2430E4">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584DE208">
      <w:pPr>
        <w:rPr>
          <w:color w:val="auto"/>
          <w:highlight w:val="none"/>
        </w:rPr>
      </w:pPr>
    </w:p>
    <w:p w14:paraId="3678E241">
      <w:pPr>
        <w:jc w:val="center"/>
        <w:rPr>
          <w:color w:val="auto"/>
          <w:sz w:val="24"/>
          <w:szCs w:val="32"/>
          <w:highlight w:val="none"/>
        </w:rPr>
      </w:pPr>
    </w:p>
    <w:p w14:paraId="3B2F5D6D">
      <w:pPr>
        <w:jc w:val="center"/>
        <w:rPr>
          <w:color w:val="auto"/>
          <w:sz w:val="24"/>
          <w:szCs w:val="32"/>
          <w:highlight w:val="none"/>
        </w:rPr>
      </w:pPr>
    </w:p>
    <w:p w14:paraId="3993F0CE">
      <w:pPr>
        <w:jc w:val="center"/>
        <w:outlineLvl w:val="0"/>
        <w:rPr>
          <w:rFonts w:ascii="黑体" w:hAnsi="黑体" w:eastAsia="黑体" w:cs="黑体"/>
          <w:color w:val="auto"/>
          <w:sz w:val="30"/>
          <w:szCs w:val="30"/>
          <w:highlight w:val="none"/>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2" w:name="_Toc5265"/>
      <w:r>
        <w:rPr>
          <w:rFonts w:hint="eastAsia" w:ascii="黑体" w:hAnsi="黑体" w:eastAsia="黑体" w:cs="黑体"/>
          <w:color w:val="auto"/>
          <w:sz w:val="30"/>
          <w:szCs w:val="30"/>
          <w:highlight w:val="none"/>
        </w:rPr>
        <w:t>202</w:t>
      </w:r>
      <w:r>
        <w:rPr>
          <w:rFonts w:hint="eastAsia" w:ascii="黑体" w:hAnsi="黑体" w:eastAsia="黑体" w:cs="黑体"/>
          <w:color w:val="auto"/>
          <w:sz w:val="30"/>
          <w:szCs w:val="30"/>
          <w:highlight w:val="none"/>
          <w:lang w:val="en-US" w:eastAsia="zh-CN"/>
        </w:rPr>
        <w:t>5</w:t>
      </w:r>
      <w:r>
        <w:rPr>
          <w:rFonts w:hint="eastAsia" w:ascii="黑体" w:hAnsi="黑体" w:eastAsia="黑体" w:cs="黑体"/>
          <w:color w:val="auto"/>
          <w:sz w:val="30"/>
          <w:szCs w:val="30"/>
          <w:highlight w:val="none"/>
        </w:rPr>
        <w:t>年</w:t>
      </w:r>
      <w:r>
        <w:rPr>
          <w:rFonts w:hint="eastAsia" w:ascii="黑体" w:hAnsi="黑体" w:eastAsia="黑体" w:cs="黑体"/>
          <w:color w:val="auto"/>
          <w:sz w:val="30"/>
          <w:szCs w:val="30"/>
          <w:highlight w:val="none"/>
          <w:lang w:val="en-US" w:eastAsia="zh-CN"/>
        </w:rPr>
        <w:t>9</w:t>
      </w:r>
      <w:r>
        <w:rPr>
          <w:rFonts w:hint="eastAsia" w:ascii="黑体" w:hAnsi="黑体" w:eastAsia="黑体" w:cs="黑体"/>
          <w:color w:val="auto"/>
          <w:sz w:val="30"/>
          <w:szCs w:val="30"/>
          <w:highlight w:val="none"/>
        </w:rPr>
        <w:t>月</w:t>
      </w:r>
      <w:r>
        <w:rPr>
          <w:rFonts w:hint="eastAsia" w:ascii="黑体" w:hAnsi="黑体" w:eastAsia="黑体" w:cs="黑体"/>
          <w:color w:val="auto"/>
          <w:sz w:val="30"/>
          <w:szCs w:val="30"/>
          <w:highlight w:val="none"/>
          <w:lang w:val="en-US" w:eastAsia="zh-CN"/>
        </w:rPr>
        <w:t>30</w:t>
      </w:r>
      <w:r>
        <w:rPr>
          <w:rFonts w:hint="eastAsia" w:ascii="黑体" w:hAnsi="黑体" w:eastAsia="黑体" w:cs="黑体"/>
          <w:color w:val="auto"/>
          <w:sz w:val="30"/>
          <w:szCs w:val="30"/>
          <w:highlight w:val="none"/>
        </w:rPr>
        <w:t>日</w:t>
      </w:r>
      <w:bookmarkEnd w:id="2"/>
    </w:p>
    <w:p w14:paraId="3CB793BA">
      <w:pPr>
        <w:jc w:val="center"/>
        <w:rPr>
          <w:b/>
          <w:bCs/>
          <w:color w:val="auto"/>
          <w:sz w:val="24"/>
          <w:szCs w:val="32"/>
          <w:highlight w:val="none"/>
        </w:rPr>
      </w:pPr>
      <w:r>
        <w:rPr>
          <w:rFonts w:ascii="宋体" w:hAnsi="宋体"/>
          <w:b/>
          <w:bCs/>
          <w:color w:val="auto"/>
          <w:sz w:val="24"/>
          <w:szCs w:val="32"/>
          <w:highlight w:val="none"/>
        </w:rPr>
        <w:t>目录</w:t>
      </w:r>
    </w:p>
    <w:p w14:paraId="7E15C094">
      <w:pPr>
        <w:pStyle w:val="28"/>
        <w:tabs>
          <w:tab w:val="right" w:leader="dot" w:pos="8306"/>
        </w:tabs>
        <w:rPr>
          <w:color w:val="auto"/>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p>
    <w:p w14:paraId="5FB408F3">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"_Toc6185" </w:instrText>
      </w:r>
      <w:r>
        <w:rPr>
          <w:color w:val="auto"/>
          <w:highlight w:val="none"/>
        </w:rPr>
        <w:fldChar w:fldCharType="separate"/>
      </w:r>
      <w:r>
        <w:rPr>
          <w:rFonts w:hint="eastAsia"/>
          <w:color w:val="auto"/>
          <w:highlight w:val="none"/>
        </w:rPr>
        <w:t>第一篇 投标邀请</w:t>
      </w:r>
      <w:r>
        <w:rPr>
          <w:color w:val="auto"/>
          <w:highlight w:val="none"/>
        </w:rPr>
        <w:tab/>
      </w:r>
      <w:r>
        <w:rPr>
          <w:color w:val="auto"/>
          <w:highlight w:val="none"/>
        </w:rPr>
        <w:fldChar w:fldCharType="begin"/>
      </w:r>
      <w:r>
        <w:rPr>
          <w:color w:val="auto"/>
          <w:highlight w:val="none"/>
        </w:rPr>
        <w:instrText xml:space="preserve"> PAGEREF _Toc6185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B686E0D">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"_Toc29954" </w:instrText>
      </w:r>
      <w:r>
        <w:rPr>
          <w:color w:val="auto"/>
          <w:highlight w:val="none"/>
        </w:rPr>
        <w:fldChar w:fldCharType="separate"/>
      </w:r>
      <w:r>
        <w:rPr>
          <w:rFonts w:hint="eastAsia"/>
          <w:color w:val="auto"/>
          <w:highlight w:val="none"/>
        </w:rPr>
        <w:t>第二篇 投标人须知</w:t>
      </w:r>
      <w:r>
        <w:rPr>
          <w:color w:val="auto"/>
          <w:highlight w:val="none"/>
        </w:rPr>
        <w:tab/>
      </w:r>
      <w:r>
        <w:rPr>
          <w:color w:val="auto"/>
          <w:highlight w:val="none"/>
        </w:rPr>
        <w:fldChar w:fldCharType="begin"/>
      </w:r>
      <w:r>
        <w:rPr>
          <w:color w:val="auto"/>
          <w:highlight w:val="none"/>
        </w:rPr>
        <w:instrText xml:space="preserve"> PAGEREF _Toc29954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29BBCBB">
      <w:pPr>
        <w:pStyle w:val="29"/>
        <w:tabs>
          <w:tab w:val="right" w:leader="dot" w:pos="8306"/>
        </w:tabs>
        <w:ind w:left="210" w:leftChars="100"/>
        <w:rPr>
          <w:color w:val="auto"/>
          <w:highlight w:val="none"/>
        </w:rPr>
      </w:pPr>
      <w:r>
        <w:rPr>
          <w:color w:val="auto"/>
          <w:highlight w:val="none"/>
        </w:rPr>
        <w:fldChar w:fldCharType="begin"/>
      </w:r>
      <w:r>
        <w:rPr>
          <w:color w:val="auto"/>
          <w:highlight w:val="none"/>
        </w:rPr>
        <w:instrText xml:space="preserve"> HYPERLINK \l "_Toc652" </w:instrText>
      </w:r>
      <w:r>
        <w:rPr>
          <w:color w:val="auto"/>
          <w:highlight w:val="none"/>
        </w:rPr>
        <w:fldChar w:fldCharType="separate"/>
      </w:r>
      <w:r>
        <w:rPr>
          <w:rFonts w:hint="eastAsia"/>
          <w:color w:val="auto"/>
          <w:highlight w:val="none"/>
          <w:lang w:val="zh-CN"/>
        </w:rPr>
        <w:t>一、投标须知前附表</w:t>
      </w:r>
      <w:r>
        <w:rPr>
          <w:color w:val="auto"/>
          <w:highlight w:val="none"/>
        </w:rPr>
        <w:tab/>
      </w:r>
      <w:r>
        <w:rPr>
          <w:color w:val="auto"/>
          <w:highlight w:val="none"/>
        </w:rPr>
        <w:fldChar w:fldCharType="begin"/>
      </w:r>
      <w:r>
        <w:rPr>
          <w:color w:val="auto"/>
          <w:highlight w:val="none"/>
        </w:rPr>
        <w:instrText xml:space="preserve"> PAGEREF _Toc652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E0A5AB3">
      <w:pPr>
        <w:pStyle w:val="29"/>
        <w:tabs>
          <w:tab w:val="right" w:leader="dot" w:pos="8306"/>
        </w:tabs>
        <w:ind w:left="210" w:leftChars="100"/>
        <w:rPr>
          <w:color w:val="auto"/>
          <w:highlight w:val="none"/>
        </w:rPr>
      </w:pPr>
      <w:r>
        <w:rPr>
          <w:color w:val="auto"/>
          <w:highlight w:val="none"/>
        </w:rPr>
        <w:fldChar w:fldCharType="begin"/>
      </w:r>
      <w:r>
        <w:rPr>
          <w:color w:val="auto"/>
          <w:highlight w:val="none"/>
        </w:rPr>
        <w:instrText xml:space="preserve"> HYPERLINK \l "_Toc21639" </w:instrText>
      </w:r>
      <w:r>
        <w:rPr>
          <w:color w:val="auto"/>
          <w:highlight w:val="none"/>
        </w:rPr>
        <w:fldChar w:fldCharType="separate"/>
      </w:r>
      <w:r>
        <w:rPr>
          <w:rFonts w:hint="eastAsia"/>
          <w:color w:val="auto"/>
          <w:highlight w:val="none"/>
        </w:rPr>
        <w:t>二、 投标须知</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776DFFA">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"_Toc20860" </w:instrText>
      </w:r>
      <w:r>
        <w:rPr>
          <w:color w:val="auto"/>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_Toc20860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AE9FD83">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"_Toc6621" </w:instrText>
      </w:r>
      <w:r>
        <w:rPr>
          <w:color w:val="auto"/>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_Toc6621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86B76B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"_Toc31531" </w:instrText>
      </w:r>
      <w:r>
        <w:rPr>
          <w:color w:val="auto"/>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_Toc31531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3B507D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"_Toc32610" </w:instrText>
      </w:r>
      <w:r>
        <w:rPr>
          <w:color w:val="auto"/>
          <w:highlight w:val="none"/>
        </w:rPr>
        <w:fldChar w:fldCharType="separate"/>
      </w:r>
      <w:r>
        <w:rPr>
          <w:rFonts w:hint="eastAsia"/>
          <w:color w:val="auto"/>
          <w:highlight w:val="none"/>
        </w:rPr>
        <w:t>4.投标费用</w:t>
      </w:r>
      <w:r>
        <w:rPr>
          <w:color w:val="auto"/>
          <w:highlight w:val="none"/>
        </w:rPr>
        <w:tab/>
      </w:r>
      <w:r>
        <w:rPr>
          <w:color w:val="auto"/>
          <w:highlight w:val="none"/>
        </w:rPr>
        <w:fldChar w:fldCharType="begin"/>
      </w:r>
      <w:r>
        <w:rPr>
          <w:color w:val="auto"/>
          <w:highlight w:val="none"/>
        </w:rPr>
        <w:instrText xml:space="preserve"> PAGEREF _Toc32610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2A45FF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"_Toc13316" </w:instrText>
      </w:r>
      <w:r>
        <w:rPr>
          <w:color w:val="auto"/>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_Toc13316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994D9EF">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"_Toc25911" </w:instrText>
      </w:r>
      <w:r>
        <w:rPr>
          <w:color w:val="auto"/>
          <w:highlight w:val="none"/>
        </w:rPr>
        <w:fldChar w:fldCharType="separate"/>
      </w:r>
      <w:r>
        <w:rPr>
          <w:rFonts w:hint="eastAsia"/>
          <w:color w:val="auto"/>
          <w:highlight w:val="none"/>
        </w:rPr>
        <w:t>6.关于联合体投标</w:t>
      </w:r>
      <w:r>
        <w:rPr>
          <w:color w:val="auto"/>
          <w:highlight w:val="none"/>
        </w:rPr>
        <w:tab/>
      </w:r>
      <w:r>
        <w:rPr>
          <w:color w:val="auto"/>
          <w:highlight w:val="none"/>
        </w:rPr>
        <w:fldChar w:fldCharType="begin"/>
      </w:r>
      <w:r>
        <w:rPr>
          <w:color w:val="auto"/>
          <w:highlight w:val="none"/>
        </w:rPr>
        <w:instrText xml:space="preserve"> PAGEREF _Toc25911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565B79E">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"_Toc27528" </w:instrText>
      </w:r>
      <w:r>
        <w:rPr>
          <w:color w:val="auto"/>
          <w:highlight w:val="none"/>
        </w:rPr>
        <w:fldChar w:fldCharType="separate"/>
      </w:r>
      <w:r>
        <w:rPr>
          <w:rFonts w:hint="eastAsia"/>
          <w:color w:val="auto"/>
          <w:highlight w:val="none"/>
        </w:rPr>
        <w:t>7.关于分支机构投标</w:t>
      </w:r>
      <w:r>
        <w:rPr>
          <w:color w:val="auto"/>
          <w:highlight w:val="none"/>
        </w:rPr>
        <w:tab/>
      </w:r>
      <w:r>
        <w:rPr>
          <w:color w:val="auto"/>
          <w:highlight w:val="none"/>
        </w:rPr>
        <w:fldChar w:fldCharType="begin"/>
      </w:r>
      <w:r>
        <w:rPr>
          <w:color w:val="auto"/>
          <w:highlight w:val="none"/>
        </w:rPr>
        <w:instrText xml:space="preserve"> PAGEREF _Toc27528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A2E5199">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"_Toc13645" </w:instrText>
      </w:r>
      <w:r>
        <w:rPr>
          <w:color w:val="auto"/>
          <w:highlight w:val="none"/>
        </w:rPr>
        <w:fldChar w:fldCharType="separate"/>
      </w:r>
      <w:r>
        <w:rPr>
          <w:rFonts w:hint="eastAsia"/>
          <w:color w:val="auto"/>
          <w:highlight w:val="none"/>
        </w:rPr>
        <w:t>8.招标文件的组成</w:t>
      </w:r>
      <w:r>
        <w:rPr>
          <w:color w:val="auto"/>
          <w:highlight w:val="none"/>
        </w:rPr>
        <w:tab/>
      </w:r>
      <w:r>
        <w:rPr>
          <w:color w:val="auto"/>
          <w:highlight w:val="none"/>
        </w:rPr>
        <w:fldChar w:fldCharType="begin"/>
      </w:r>
      <w:r>
        <w:rPr>
          <w:color w:val="auto"/>
          <w:highlight w:val="none"/>
        </w:rPr>
        <w:instrText xml:space="preserve"> PAGEREF _Toc13645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77AB022">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"_Toc644" </w:instrText>
      </w:r>
      <w:r>
        <w:rPr>
          <w:color w:val="auto"/>
          <w:highlight w:val="none"/>
        </w:rPr>
        <w:fldChar w:fldCharType="separate"/>
      </w:r>
      <w:r>
        <w:rPr>
          <w:rFonts w:hint="eastAsia"/>
          <w:color w:val="auto"/>
          <w:highlight w:val="none"/>
        </w:rPr>
        <w:t>9.招标文件的澄清或修改</w:t>
      </w:r>
      <w:r>
        <w:rPr>
          <w:color w:val="auto"/>
          <w:highlight w:val="none"/>
        </w:rPr>
        <w:tab/>
      </w:r>
      <w:r>
        <w:rPr>
          <w:color w:val="auto"/>
          <w:highlight w:val="none"/>
        </w:rPr>
        <w:fldChar w:fldCharType="begin"/>
      </w:r>
      <w:r>
        <w:rPr>
          <w:color w:val="auto"/>
          <w:highlight w:val="none"/>
        </w:rPr>
        <w:instrText xml:space="preserve"> PAGEREF _Toc644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F8DB768">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"_Toc6458" </w:instrText>
      </w:r>
      <w:r>
        <w:rPr>
          <w:color w:val="auto"/>
          <w:highlight w:val="none"/>
        </w:rPr>
        <w:fldChar w:fldCharType="separate"/>
      </w:r>
      <w:r>
        <w:rPr>
          <w:rFonts w:hint="eastAsia"/>
          <w:color w:val="auto"/>
          <w:highlight w:val="none"/>
        </w:rPr>
        <w:t>10.投标文件的语言及度量衡单位</w:t>
      </w:r>
      <w:r>
        <w:rPr>
          <w:color w:val="auto"/>
          <w:highlight w:val="none"/>
        </w:rPr>
        <w:tab/>
      </w:r>
      <w:r>
        <w:rPr>
          <w:color w:val="auto"/>
          <w:highlight w:val="none"/>
        </w:rPr>
        <w:fldChar w:fldCharType="begin"/>
      </w:r>
      <w:r>
        <w:rPr>
          <w:color w:val="auto"/>
          <w:highlight w:val="none"/>
        </w:rPr>
        <w:instrText xml:space="preserve"> PAGEREF _Toc6458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05D147C">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"_Toc8246" </w:instrText>
      </w:r>
      <w:r>
        <w:rPr>
          <w:color w:val="auto"/>
          <w:highlight w:val="none"/>
        </w:rPr>
        <w:fldChar w:fldCharType="separate"/>
      </w:r>
      <w:r>
        <w:rPr>
          <w:rFonts w:hint="eastAsia"/>
          <w:color w:val="auto"/>
          <w:highlight w:val="none"/>
        </w:rPr>
        <w:t>11.投标文件的组成</w:t>
      </w:r>
      <w:r>
        <w:rPr>
          <w:color w:val="auto"/>
          <w:highlight w:val="none"/>
        </w:rPr>
        <w:tab/>
      </w:r>
      <w:r>
        <w:rPr>
          <w:color w:val="auto"/>
          <w:highlight w:val="none"/>
        </w:rPr>
        <w:fldChar w:fldCharType="begin"/>
      </w:r>
      <w:r>
        <w:rPr>
          <w:color w:val="auto"/>
          <w:highlight w:val="none"/>
        </w:rPr>
        <w:instrText xml:space="preserve"> PAGEREF _Toc8246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2C4AED0">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"_Toc5980" </w:instrText>
      </w:r>
      <w:r>
        <w:rPr>
          <w:color w:val="auto"/>
          <w:highlight w:val="none"/>
        </w:rPr>
        <w:fldChar w:fldCharType="separate"/>
      </w:r>
      <w:r>
        <w:rPr>
          <w:rFonts w:hint="eastAsia"/>
          <w:color w:val="auto"/>
          <w:highlight w:val="none"/>
        </w:rPr>
        <w:t>12.投标文件编制</w:t>
      </w:r>
      <w:r>
        <w:rPr>
          <w:color w:val="auto"/>
          <w:highlight w:val="none"/>
        </w:rPr>
        <w:tab/>
      </w:r>
      <w:r>
        <w:rPr>
          <w:color w:val="auto"/>
          <w:highlight w:val="none"/>
        </w:rPr>
        <w:fldChar w:fldCharType="begin"/>
      </w:r>
      <w:r>
        <w:rPr>
          <w:color w:val="auto"/>
          <w:highlight w:val="none"/>
        </w:rPr>
        <w:instrText xml:space="preserve"> PAGEREF _Toc5980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34612C1">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"_Toc1355" </w:instrText>
      </w:r>
      <w:r>
        <w:rPr>
          <w:color w:val="auto"/>
          <w:highlight w:val="none"/>
        </w:rPr>
        <w:fldChar w:fldCharType="separate"/>
      </w:r>
      <w:r>
        <w:rPr>
          <w:rFonts w:hint="eastAsia"/>
          <w:color w:val="auto"/>
          <w:highlight w:val="none"/>
        </w:rPr>
        <w:t>13.投标报价说明</w:t>
      </w:r>
      <w:r>
        <w:rPr>
          <w:color w:val="auto"/>
          <w:highlight w:val="none"/>
        </w:rPr>
        <w:tab/>
      </w:r>
      <w:r>
        <w:rPr>
          <w:color w:val="auto"/>
          <w:highlight w:val="none"/>
        </w:rPr>
        <w:fldChar w:fldCharType="begin"/>
      </w:r>
      <w:r>
        <w:rPr>
          <w:color w:val="auto"/>
          <w:highlight w:val="none"/>
        </w:rPr>
        <w:instrText xml:space="preserve"> PAGEREF _Toc1355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9663C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"_Toc6729" </w:instrText>
      </w:r>
      <w:r>
        <w:rPr>
          <w:color w:val="auto"/>
          <w:highlight w:val="none"/>
        </w:rPr>
        <w:fldChar w:fldCharType="separate"/>
      </w:r>
      <w:r>
        <w:rPr>
          <w:rFonts w:hint="eastAsia"/>
          <w:color w:val="auto"/>
          <w:highlight w:val="none"/>
        </w:rPr>
        <w:t>14.投标人所提供的服务或货物的证明文件</w:t>
      </w:r>
      <w:r>
        <w:rPr>
          <w:color w:val="auto"/>
          <w:highlight w:val="none"/>
        </w:rPr>
        <w:tab/>
      </w:r>
      <w:r>
        <w:rPr>
          <w:color w:val="auto"/>
          <w:highlight w:val="none"/>
        </w:rPr>
        <w:fldChar w:fldCharType="begin"/>
      </w:r>
      <w:r>
        <w:rPr>
          <w:color w:val="auto"/>
          <w:highlight w:val="none"/>
        </w:rPr>
        <w:instrText xml:space="preserve"> PAGEREF _Toc6729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5F497180">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"_Toc29725" </w:instrText>
      </w:r>
      <w:r>
        <w:rPr>
          <w:color w:val="auto"/>
          <w:highlight w:val="none"/>
        </w:rPr>
        <w:fldChar w:fldCharType="separate"/>
      </w:r>
      <w:r>
        <w:rPr>
          <w:rFonts w:hint="eastAsia"/>
          <w:color w:val="auto"/>
          <w:highlight w:val="none"/>
        </w:rPr>
        <w:t>15.★投标有效期</w:t>
      </w:r>
      <w:r>
        <w:rPr>
          <w:color w:val="auto"/>
          <w:highlight w:val="none"/>
        </w:rPr>
        <w:tab/>
      </w:r>
      <w:r>
        <w:rPr>
          <w:color w:val="auto"/>
          <w:highlight w:val="none"/>
        </w:rPr>
        <w:fldChar w:fldCharType="begin"/>
      </w:r>
      <w:r>
        <w:rPr>
          <w:color w:val="auto"/>
          <w:highlight w:val="none"/>
        </w:rPr>
        <w:instrText xml:space="preserve"> PAGEREF _Toc29725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70602F2">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"_Toc15529" </w:instrText>
      </w:r>
      <w:r>
        <w:rPr>
          <w:color w:val="auto"/>
          <w:highlight w:val="none"/>
        </w:rPr>
        <w:fldChar w:fldCharType="separate"/>
      </w:r>
      <w:r>
        <w:rPr>
          <w:rFonts w:hint="eastAsia"/>
          <w:color w:val="auto"/>
          <w:highlight w:val="none"/>
        </w:rPr>
        <w:t>16.★投标保证金</w:t>
      </w:r>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_Toc15529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15110DD">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"_Toc16286" </w:instrText>
      </w:r>
      <w:r>
        <w:rPr>
          <w:color w:val="auto"/>
          <w:highlight w:val="none"/>
        </w:rPr>
        <w:fldChar w:fldCharType="separate"/>
      </w:r>
      <w:r>
        <w:rPr>
          <w:rFonts w:hint="eastAsia"/>
          <w:color w:val="auto"/>
          <w:highlight w:val="none"/>
        </w:rPr>
        <w:t>17.投标文件的装订，签署，密封和标记</w:t>
      </w:r>
      <w:r>
        <w:rPr>
          <w:color w:val="auto"/>
          <w:highlight w:val="none"/>
        </w:rPr>
        <w:tab/>
      </w:r>
      <w:r>
        <w:rPr>
          <w:color w:val="auto"/>
          <w:highlight w:val="none"/>
        </w:rPr>
        <w:fldChar w:fldCharType="begin"/>
      </w:r>
      <w:r>
        <w:rPr>
          <w:color w:val="auto"/>
          <w:highlight w:val="none"/>
        </w:rPr>
        <w:instrText xml:space="preserve"> PAGEREF _Toc16286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6ABC249">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"_Toc17636" </w:instrText>
      </w:r>
      <w:r>
        <w:rPr>
          <w:color w:val="auto"/>
          <w:highlight w:val="none"/>
        </w:rPr>
        <w:fldChar w:fldCharType="separate"/>
      </w:r>
      <w:r>
        <w:rPr>
          <w:rFonts w:hint="eastAsia"/>
          <w:color w:val="auto"/>
          <w:highlight w:val="none"/>
        </w:rPr>
        <w:t>18.迟交的投标文件</w:t>
      </w:r>
      <w:r>
        <w:rPr>
          <w:color w:val="auto"/>
          <w:highlight w:val="none"/>
        </w:rPr>
        <w:tab/>
      </w:r>
      <w:r>
        <w:rPr>
          <w:color w:val="auto"/>
          <w:highlight w:val="none"/>
        </w:rPr>
        <w:fldChar w:fldCharType="begin"/>
      </w:r>
      <w:r>
        <w:rPr>
          <w:color w:val="auto"/>
          <w:highlight w:val="none"/>
        </w:rPr>
        <w:instrText xml:space="preserve"> PAGEREF _Toc17636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999ED3B">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"_Toc24269" </w:instrText>
      </w:r>
      <w:r>
        <w:rPr>
          <w:color w:val="auto"/>
          <w:highlight w:val="none"/>
        </w:rPr>
        <w:fldChar w:fldCharType="separate"/>
      </w:r>
      <w:r>
        <w:rPr>
          <w:rFonts w:hint="eastAsia"/>
          <w:color w:val="auto"/>
          <w:highlight w:val="none"/>
        </w:rPr>
        <w:t>19.投标样品、投标演示（如有要求）</w:t>
      </w:r>
      <w:r>
        <w:rPr>
          <w:color w:val="auto"/>
          <w:highlight w:val="none"/>
        </w:rPr>
        <w:tab/>
      </w:r>
      <w:r>
        <w:rPr>
          <w:color w:val="auto"/>
          <w:highlight w:val="none"/>
        </w:rPr>
        <w:fldChar w:fldCharType="begin"/>
      </w:r>
      <w:r>
        <w:rPr>
          <w:color w:val="auto"/>
          <w:highlight w:val="none"/>
        </w:rPr>
        <w:instrText xml:space="preserve"> PAGEREF _Toc24269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0E311C8">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"_Toc22355" </w:instrText>
      </w:r>
      <w:r>
        <w:rPr>
          <w:color w:val="auto"/>
          <w:highlight w:val="none"/>
        </w:rPr>
        <w:fldChar w:fldCharType="separate"/>
      </w:r>
      <w:r>
        <w:rPr>
          <w:rFonts w:hint="eastAsia"/>
          <w:color w:val="auto"/>
          <w:highlight w:val="none"/>
        </w:rPr>
        <w:t>20.投标截止期</w:t>
      </w:r>
      <w:r>
        <w:rPr>
          <w:color w:val="auto"/>
          <w:highlight w:val="none"/>
        </w:rPr>
        <w:tab/>
      </w:r>
      <w:r>
        <w:rPr>
          <w:color w:val="auto"/>
          <w:highlight w:val="none"/>
        </w:rPr>
        <w:fldChar w:fldCharType="begin"/>
      </w:r>
      <w:r>
        <w:rPr>
          <w:color w:val="auto"/>
          <w:highlight w:val="none"/>
        </w:rPr>
        <w:instrText xml:space="preserve"> PAGEREF _Toc22355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E3785B0">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"_Toc4270" </w:instrText>
      </w:r>
      <w:r>
        <w:rPr>
          <w:color w:val="auto"/>
          <w:highlight w:val="none"/>
        </w:rPr>
        <w:fldChar w:fldCharType="separate"/>
      </w:r>
      <w:r>
        <w:rPr>
          <w:rFonts w:hint="eastAsia"/>
          <w:color w:val="auto"/>
          <w:highlight w:val="none"/>
        </w:rPr>
        <w:t>21.投标文件的补充、修改与撤回</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810B397">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"_Toc23244" </w:instrText>
      </w:r>
      <w:r>
        <w:rPr>
          <w:color w:val="auto"/>
          <w:highlight w:val="none"/>
        </w:rPr>
        <w:fldChar w:fldCharType="separate"/>
      </w:r>
      <w:r>
        <w:rPr>
          <w:rFonts w:hint="eastAsia"/>
          <w:color w:val="auto"/>
          <w:highlight w:val="none"/>
        </w:rPr>
        <w:t>23.评标委员会及评标方法</w:t>
      </w:r>
      <w:r>
        <w:rPr>
          <w:color w:val="auto"/>
          <w:highlight w:val="none"/>
        </w:rPr>
        <w:tab/>
      </w:r>
      <w:r>
        <w:rPr>
          <w:color w:val="auto"/>
          <w:highlight w:val="none"/>
        </w:rPr>
        <w:fldChar w:fldCharType="begin"/>
      </w:r>
      <w:r>
        <w:rPr>
          <w:color w:val="auto"/>
          <w:highlight w:val="none"/>
        </w:rPr>
        <w:instrText xml:space="preserve"> PAGEREF _Toc23244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9B72E0E">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"_Toc15635" </w:instrText>
      </w:r>
      <w:r>
        <w:rPr>
          <w:color w:val="auto"/>
          <w:highlight w:val="none"/>
        </w:rPr>
        <w:fldChar w:fldCharType="separate"/>
      </w:r>
      <w:r>
        <w:rPr>
          <w:rFonts w:hint="eastAsia"/>
          <w:color w:val="auto"/>
          <w:highlight w:val="none"/>
        </w:rPr>
        <w:t>24.评审原则及评标过程的保密</w:t>
      </w:r>
      <w:r>
        <w:rPr>
          <w:color w:val="auto"/>
          <w:highlight w:val="none"/>
        </w:rPr>
        <w:tab/>
      </w:r>
      <w:r>
        <w:rPr>
          <w:color w:val="auto"/>
          <w:highlight w:val="none"/>
        </w:rPr>
        <w:fldChar w:fldCharType="begin"/>
      </w:r>
      <w:r>
        <w:rPr>
          <w:color w:val="auto"/>
          <w:highlight w:val="none"/>
        </w:rPr>
        <w:instrText xml:space="preserve"> PAGEREF _Toc15635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F7A252B">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"_Toc10950" </w:instrText>
      </w:r>
      <w:r>
        <w:rPr>
          <w:color w:val="auto"/>
          <w:highlight w:val="none"/>
        </w:rPr>
        <w:fldChar w:fldCharType="separate"/>
      </w:r>
      <w:r>
        <w:rPr>
          <w:rFonts w:hint="eastAsia"/>
          <w:color w:val="auto"/>
          <w:highlight w:val="none"/>
        </w:rPr>
        <w:t>25.投标文件的初审</w:t>
      </w:r>
      <w:r>
        <w:rPr>
          <w:color w:val="auto"/>
          <w:highlight w:val="none"/>
        </w:rPr>
        <w:tab/>
      </w:r>
      <w:r>
        <w:rPr>
          <w:color w:val="auto"/>
          <w:highlight w:val="none"/>
        </w:rPr>
        <w:fldChar w:fldCharType="begin"/>
      </w:r>
      <w:r>
        <w:rPr>
          <w:color w:val="auto"/>
          <w:highlight w:val="none"/>
        </w:rPr>
        <w:instrText xml:space="preserve"> PAGEREF _Toc10950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9F3644A">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"_Toc24775" </w:instrText>
      </w:r>
      <w:r>
        <w:rPr>
          <w:color w:val="auto"/>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_Toc24775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E1EDE3C">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"_Toc19304" </w:instrText>
      </w:r>
      <w:r>
        <w:rPr>
          <w:color w:val="auto"/>
          <w:highlight w:val="none"/>
        </w:rPr>
        <w:fldChar w:fldCharType="separate"/>
      </w:r>
      <w:r>
        <w:rPr>
          <w:rFonts w:hint="eastAsia"/>
          <w:color w:val="auto"/>
          <w:highlight w:val="none"/>
        </w:rPr>
        <w:t>27.纪律和保密事项</w:t>
      </w:r>
      <w:r>
        <w:rPr>
          <w:color w:val="auto"/>
          <w:highlight w:val="none"/>
        </w:rPr>
        <w:tab/>
      </w:r>
      <w:r>
        <w:rPr>
          <w:color w:val="auto"/>
          <w:highlight w:val="none"/>
        </w:rPr>
        <w:fldChar w:fldCharType="begin"/>
      </w:r>
      <w:r>
        <w:rPr>
          <w:color w:val="auto"/>
          <w:highlight w:val="none"/>
        </w:rPr>
        <w:instrText xml:space="preserve"> PAGEREF _Toc19304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34724E7">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"_Toc1994" </w:instrText>
      </w:r>
      <w:r>
        <w:rPr>
          <w:color w:val="auto"/>
          <w:highlight w:val="none"/>
        </w:rPr>
        <w:fldChar w:fldCharType="separate"/>
      </w:r>
      <w:r>
        <w:rPr>
          <w:rFonts w:hint="eastAsia"/>
          <w:color w:val="auto"/>
          <w:highlight w:val="none"/>
        </w:rPr>
        <w:t>28.合同授予标准</w:t>
      </w:r>
      <w:r>
        <w:rPr>
          <w:color w:val="auto"/>
          <w:highlight w:val="none"/>
        </w:rPr>
        <w:tab/>
      </w:r>
      <w:r>
        <w:rPr>
          <w:color w:val="auto"/>
          <w:highlight w:val="none"/>
        </w:rPr>
        <w:fldChar w:fldCharType="begin"/>
      </w:r>
      <w:r>
        <w:rPr>
          <w:color w:val="auto"/>
          <w:highlight w:val="none"/>
        </w:rPr>
        <w:instrText xml:space="preserve"> PAGEREF _Toc1994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815FB0B">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"_Toc14141" </w:instrText>
      </w:r>
      <w:r>
        <w:rPr>
          <w:color w:val="auto"/>
          <w:highlight w:val="none"/>
        </w:rPr>
        <w:fldChar w:fldCharType="separate"/>
      </w:r>
      <w:r>
        <w:rPr>
          <w:rFonts w:hint="eastAsia"/>
          <w:color w:val="auto"/>
          <w:highlight w:val="none"/>
        </w:rPr>
        <w:t>30.发布采购结果</w:t>
      </w:r>
      <w:r>
        <w:rPr>
          <w:color w:val="auto"/>
          <w:highlight w:val="none"/>
        </w:rPr>
        <w:tab/>
      </w:r>
      <w:r>
        <w:rPr>
          <w:color w:val="auto"/>
          <w:highlight w:val="none"/>
        </w:rPr>
        <w:fldChar w:fldCharType="begin"/>
      </w:r>
      <w:r>
        <w:rPr>
          <w:color w:val="auto"/>
          <w:highlight w:val="none"/>
        </w:rPr>
        <w:instrText xml:space="preserve"> PAGEREF _Toc14141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4A4741E">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"_Toc11977" </w:instrText>
      </w:r>
      <w:r>
        <w:rPr>
          <w:color w:val="auto"/>
          <w:highlight w:val="none"/>
        </w:rPr>
        <w:fldChar w:fldCharType="separate"/>
      </w:r>
      <w:r>
        <w:rPr>
          <w:rFonts w:hint="eastAsia"/>
          <w:color w:val="auto"/>
          <w:highlight w:val="none"/>
        </w:rPr>
        <w:t>30.合同的签订与履行</w:t>
      </w:r>
      <w:r>
        <w:rPr>
          <w:color w:val="auto"/>
          <w:highlight w:val="none"/>
        </w:rPr>
        <w:tab/>
      </w:r>
      <w:r>
        <w:rPr>
          <w:color w:val="auto"/>
          <w:highlight w:val="none"/>
        </w:rPr>
        <w:fldChar w:fldCharType="begin"/>
      </w:r>
      <w:r>
        <w:rPr>
          <w:color w:val="auto"/>
          <w:highlight w:val="none"/>
        </w:rPr>
        <w:instrText xml:space="preserve"> PAGEREF _Toc11977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6C6841F">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"_Toc23400" </w:instrText>
      </w:r>
      <w:r>
        <w:rPr>
          <w:color w:val="auto"/>
          <w:highlight w:val="none"/>
        </w:rPr>
        <w:fldChar w:fldCharType="separate"/>
      </w:r>
      <w:r>
        <w:rPr>
          <w:rFonts w:hint="eastAsia"/>
          <w:color w:val="auto"/>
          <w:highlight w:val="none"/>
        </w:rPr>
        <w:t>31.招标文件的解释权</w:t>
      </w:r>
      <w:r>
        <w:rPr>
          <w:color w:val="auto"/>
          <w:highlight w:val="none"/>
        </w:rPr>
        <w:tab/>
      </w:r>
      <w:r>
        <w:rPr>
          <w:color w:val="auto"/>
          <w:highlight w:val="none"/>
        </w:rPr>
        <w:fldChar w:fldCharType="begin"/>
      </w:r>
      <w:r>
        <w:rPr>
          <w:color w:val="auto"/>
          <w:highlight w:val="none"/>
        </w:rPr>
        <w:instrText xml:space="preserve"> PAGEREF _Toc23400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49790E0">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"_Toc27892" </w:instrText>
      </w:r>
      <w:r>
        <w:rPr>
          <w:color w:val="auto"/>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_Toc27892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3F0ACCB">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"_Toc28584" </w:instrText>
      </w:r>
      <w:r>
        <w:rPr>
          <w:color w:val="auto"/>
          <w:highlight w:val="none"/>
        </w:rPr>
        <w:fldChar w:fldCharType="separate"/>
      </w:r>
      <w:r>
        <w:rPr>
          <w:rFonts w:hint="eastAsia"/>
          <w:color w:val="auto"/>
          <w:highlight w:val="none"/>
        </w:rPr>
        <w:t>第四篇 详细评审</w:t>
      </w:r>
      <w:r>
        <w:rPr>
          <w:rFonts w:hint="eastAsia"/>
          <w:color w:val="auto"/>
          <w:highlight w:val="none"/>
          <w:lang w:eastAsia="zh-CN"/>
        </w:rPr>
        <w:t>（</w:t>
      </w:r>
      <w:r>
        <w:rPr>
          <w:rFonts w:hint="eastAsia"/>
          <w:color w:val="auto"/>
          <w:highlight w:val="none"/>
          <w:lang w:val="en-US" w:eastAsia="zh-CN"/>
        </w:rPr>
        <w:t>适用于所有包组</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_Toc28584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0BFA379A">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"_Toc32522" </w:instrText>
      </w:r>
      <w:r>
        <w:rPr>
          <w:color w:val="auto"/>
          <w:highlight w:val="none"/>
        </w:rPr>
        <w:fldChar w:fldCharType="separate"/>
      </w:r>
      <w:r>
        <w:rPr>
          <w:rFonts w:hint="eastAsia"/>
          <w:color w:val="auto"/>
          <w:highlight w:val="none"/>
        </w:rPr>
        <w:t>第五篇 合同文本参考格式</w:t>
      </w:r>
      <w:r>
        <w:rPr>
          <w:color w:val="auto"/>
          <w:highlight w:val="none"/>
        </w:rPr>
        <w:tab/>
      </w:r>
      <w:r>
        <w:rPr>
          <w:color w:val="auto"/>
          <w:highlight w:val="none"/>
        </w:rPr>
        <w:fldChar w:fldCharType="begin"/>
      </w:r>
      <w:r>
        <w:rPr>
          <w:color w:val="auto"/>
          <w:highlight w:val="none"/>
        </w:rPr>
        <w:instrText xml:space="preserve"> PAGEREF _Toc32522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498082D4">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"_Toc17794" </w:instrText>
      </w:r>
      <w:r>
        <w:rPr>
          <w:color w:val="auto"/>
          <w:highlight w:val="none"/>
        </w:rPr>
        <w:fldChar w:fldCharType="separate"/>
      </w:r>
      <w:r>
        <w:rPr>
          <w:rFonts w:hint="eastAsia"/>
          <w:color w:val="auto"/>
          <w:highlight w:val="none"/>
        </w:rPr>
        <w:t>第六篇 投标文件格式</w:t>
      </w:r>
      <w:r>
        <w:rPr>
          <w:color w:val="auto"/>
          <w:highlight w:val="none"/>
        </w:rPr>
        <w:tab/>
      </w:r>
      <w:r>
        <w:rPr>
          <w:color w:val="auto"/>
          <w:highlight w:val="none"/>
        </w:rPr>
        <w:fldChar w:fldCharType="begin"/>
      </w:r>
      <w:r>
        <w:rPr>
          <w:color w:val="auto"/>
          <w:highlight w:val="none"/>
        </w:rPr>
        <w:instrText xml:space="preserve"> PAGEREF _Toc17794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D7961F7">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"_Toc27211" </w:instrText>
      </w:r>
      <w:r>
        <w:rPr>
          <w:color w:val="auto"/>
          <w:highlight w:val="none"/>
        </w:rPr>
        <w:fldChar w:fldCharType="separate"/>
      </w:r>
      <w:r>
        <w:rPr>
          <w:rFonts w:hint="eastAsia"/>
          <w:color w:val="auto"/>
          <w:highlight w:val="none"/>
        </w:rPr>
        <w:t>第七篇 开标文件格式</w:t>
      </w:r>
      <w:r>
        <w:rPr>
          <w:color w:val="auto"/>
          <w:highlight w:val="none"/>
        </w:rPr>
        <w:tab/>
      </w:r>
      <w:r>
        <w:rPr>
          <w:color w:val="auto"/>
          <w:highlight w:val="none"/>
        </w:rPr>
        <w:fldChar w:fldCharType="begin"/>
      </w:r>
      <w:r>
        <w:rPr>
          <w:color w:val="auto"/>
          <w:highlight w:val="none"/>
        </w:rPr>
        <w:instrText xml:space="preserve"> PAGEREF _Toc27211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26446216">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"_Toc2722" </w:instrText>
      </w:r>
      <w:r>
        <w:rPr>
          <w:color w:val="auto"/>
          <w:highlight w:val="none"/>
        </w:rPr>
        <w:fldChar w:fldCharType="separate"/>
      </w:r>
      <w:r>
        <w:rPr>
          <w:rFonts w:hint="eastAsia"/>
          <w:color w:val="auto"/>
          <w:highlight w:val="none"/>
        </w:rPr>
        <w:t>第八篇 其它文件格式（如有需要）</w:t>
      </w:r>
      <w:r>
        <w:rPr>
          <w:color w:val="auto"/>
          <w:highlight w:val="none"/>
        </w:rPr>
        <w:tab/>
      </w:r>
      <w:r>
        <w:rPr>
          <w:color w:val="auto"/>
          <w:highlight w:val="none"/>
        </w:rPr>
        <w:fldChar w:fldCharType="begin"/>
      </w:r>
      <w:r>
        <w:rPr>
          <w:color w:val="auto"/>
          <w:highlight w:val="none"/>
        </w:rPr>
        <w:instrText xml:space="preserve"> PAGEREF _Toc2722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14A84513">
      <w:pPr>
        <w:rPr>
          <w:rFonts w:ascii="黑体" w:hAnsi="黑体" w:eastAsia="黑体" w:cs="黑体"/>
          <w:color w:val="auto"/>
          <w:sz w:val="30"/>
          <w:szCs w:val="30"/>
          <w:highlight w:val="none"/>
        </w:rPr>
      </w:pPr>
      <w:r>
        <w:rPr>
          <w:rFonts w:hint="eastAsia" w:ascii="黑体" w:hAnsi="黑体" w:eastAsia="黑体" w:cs="黑体"/>
          <w:color w:val="auto"/>
          <w:szCs w:val="30"/>
          <w:highlight w:val="none"/>
        </w:rPr>
        <w:fldChar w:fldCharType="end"/>
      </w:r>
    </w:p>
    <w:p w14:paraId="0CAF8086">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0DED68F8">
      <w:pPr>
        <w:pStyle w:val="3"/>
        <w:numPr>
          <w:ilvl w:val="0"/>
          <w:numId w:val="1"/>
        </w:numPr>
        <w:rPr>
          <w:color w:val="auto"/>
          <w:highlight w:val="none"/>
        </w:rPr>
      </w:pPr>
      <w:bookmarkStart w:id="3" w:name="_Toc6185"/>
      <w:r>
        <w:rPr>
          <w:rFonts w:hint="eastAsia"/>
          <w:color w:val="auto"/>
          <w:highlight w:val="none"/>
        </w:rPr>
        <w:t>投标邀请</w:t>
      </w:r>
      <w:bookmarkEnd w:id="3"/>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东莞市第二高级中学饭堂食材配送项目</w:t>
      </w:r>
      <w:r>
        <w:rPr>
          <w:rFonts w:hint="eastAsia" w:ascii="宋体" w:hAnsi="宋体" w:cs="宋体"/>
          <w:color w:val="auto"/>
          <w:szCs w:val="21"/>
          <w:highlight w:val="none"/>
        </w:rPr>
        <w:t>招标项目的潜在投标人应在</w:t>
      </w:r>
      <w:r>
        <w:rPr>
          <w:rFonts w:hint="eastAsia" w:ascii="宋体" w:hAnsi="宋体" w:cs="宋体"/>
          <w:b/>
          <w:bCs/>
          <w:color w:val="auto"/>
          <w:szCs w:val="21"/>
          <w:highlight w:val="none"/>
          <w:u w:val="single"/>
        </w:rPr>
        <w:t>东莞市南城街道鸿福西路81号国际商会大厦</w:t>
      </w:r>
      <w:r>
        <w:rPr>
          <w:rFonts w:hint="eastAsia" w:ascii="宋体" w:hAnsi="宋体" w:cs="宋体"/>
          <w:b/>
          <w:bCs/>
          <w:color w:val="auto"/>
          <w:szCs w:val="21"/>
          <w:highlight w:val="none"/>
          <w:u w:val="single"/>
          <w:lang w:eastAsia="zh-CN"/>
        </w:rPr>
        <w:t>13A层01</w:t>
      </w:r>
      <w:r>
        <w:rPr>
          <w:rFonts w:hint="eastAsia" w:ascii="宋体" w:hAnsi="宋体" w:cs="宋体"/>
          <w:b/>
          <w:bCs/>
          <w:color w:val="auto"/>
          <w:szCs w:val="21"/>
          <w:highlight w:val="none"/>
          <w:u w:val="single"/>
        </w:rPr>
        <w:t>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21</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14</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30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980447D">
      <w:pPr>
        <w:spacing w:line="360" w:lineRule="auto"/>
        <w:rPr>
          <w:rFonts w:ascii="宋体" w:hAnsi="宋体" w:cs="宋体"/>
          <w:color w:val="auto"/>
          <w:szCs w:val="21"/>
          <w:highlight w:val="none"/>
        </w:rPr>
      </w:pPr>
    </w:p>
    <w:p w14:paraId="564C5834">
      <w:pPr>
        <w:pStyle w:val="4"/>
        <w:spacing w:line="360" w:lineRule="auto"/>
        <w:jc w:val="left"/>
        <w:rPr>
          <w:rFonts w:ascii="宋体" w:hAnsi="宋体" w:cs="宋体"/>
          <w:bCs/>
          <w:color w:val="auto"/>
          <w:sz w:val="21"/>
          <w:szCs w:val="21"/>
          <w:highlight w:val="none"/>
        </w:rPr>
      </w:pPr>
      <w:bookmarkStart w:id="4" w:name="_Toc28359079"/>
      <w:bookmarkStart w:id="5" w:name="_Toc2169"/>
      <w:bookmarkStart w:id="6" w:name="_Toc35393790"/>
      <w:bookmarkStart w:id="7" w:name="_Toc28359002"/>
      <w:bookmarkStart w:id="8" w:name="_Toc35393621"/>
      <w:bookmarkStart w:id="9" w:name="_Hlk24379207"/>
      <w:r>
        <w:rPr>
          <w:rFonts w:hint="eastAsia" w:ascii="宋体" w:hAnsi="宋体" w:cs="宋体"/>
          <w:bCs/>
          <w:color w:val="auto"/>
          <w:sz w:val="21"/>
          <w:szCs w:val="21"/>
          <w:highlight w:val="none"/>
        </w:rPr>
        <w:t>一、项目基本情况</w:t>
      </w:r>
      <w:bookmarkEnd w:id="4"/>
      <w:bookmarkEnd w:id="5"/>
      <w:bookmarkEnd w:id="6"/>
      <w:bookmarkEnd w:id="7"/>
      <w:bookmarkEnd w:id="8"/>
    </w:p>
    <w:p w14:paraId="2D35A36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GSDG2025-026C</w:t>
      </w:r>
    </w:p>
    <w:p w14:paraId="504FC5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东莞市第二高级中学饭堂食材配送项目</w:t>
      </w:r>
    </w:p>
    <w:bookmarkEnd w:id="9"/>
    <w:p w14:paraId="1112C6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65747CD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1、项目内容：</w:t>
      </w:r>
      <w:r>
        <w:rPr>
          <w:rFonts w:hint="eastAsia" w:ascii="宋体" w:hAnsi="宋体" w:eastAsia="宋体"/>
          <w:b/>
          <w:bCs/>
          <w:color w:val="auto"/>
          <w:sz w:val="21"/>
          <w:szCs w:val="21"/>
          <w:highlight w:val="none"/>
          <w:u w:val="single"/>
          <w:lang w:val="en-US" w:eastAsia="zh-CN"/>
        </w:rPr>
        <w:t>食材配送</w:t>
      </w:r>
      <w:r>
        <w:rPr>
          <w:rFonts w:hint="eastAsia" w:ascii="宋体" w:hAnsi="宋体" w:eastAsia="宋体"/>
          <w:color w:val="auto"/>
          <w:sz w:val="21"/>
          <w:szCs w:val="21"/>
          <w:highlight w:val="none"/>
        </w:rPr>
        <w:t>采购一项，</w:t>
      </w:r>
      <w:r>
        <w:rPr>
          <w:rFonts w:hint="eastAsia" w:ascii="宋体" w:hAnsi="宋体" w:eastAsia="宋体"/>
          <w:color w:val="auto"/>
          <w:sz w:val="21"/>
          <w:szCs w:val="21"/>
          <w:highlight w:val="none"/>
          <w:lang w:eastAsia="zh-CN"/>
        </w:rPr>
        <w:t>服务期：</w:t>
      </w:r>
      <w:r>
        <w:rPr>
          <w:rFonts w:hint="eastAsia" w:ascii="宋体" w:hAnsi="宋体" w:eastAsia="宋体"/>
          <w:b/>
          <w:bCs/>
          <w:color w:val="auto"/>
          <w:sz w:val="21"/>
          <w:szCs w:val="21"/>
          <w:highlight w:val="none"/>
          <w:u w:val="single"/>
          <w:lang w:val="en-US" w:eastAsia="zh-CN"/>
        </w:rPr>
        <w:t>叁年</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lang w:eastAsia="zh-CN"/>
        </w:rPr>
        <w:t>包组情况如下：</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5312"/>
        <w:gridCol w:w="2195"/>
      </w:tblGrid>
      <w:tr w14:paraId="5AA8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pct"/>
            <w:vAlign w:val="center"/>
          </w:tcPr>
          <w:p w14:paraId="38184AD7">
            <w:pPr>
              <w:spacing w:after="0"/>
              <w:jc w:val="center"/>
              <w:textAlignment w:val="bottom"/>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3117" w:type="pct"/>
            <w:vAlign w:val="center"/>
          </w:tcPr>
          <w:p w14:paraId="1C6428B3">
            <w:pPr>
              <w:spacing w:after="0"/>
              <w:jc w:val="center"/>
              <w:textAlignment w:val="bottom"/>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采购名称</w:t>
            </w:r>
          </w:p>
        </w:tc>
        <w:tc>
          <w:tcPr>
            <w:tcW w:w="1288" w:type="pct"/>
            <w:vAlign w:val="center"/>
          </w:tcPr>
          <w:p w14:paraId="277A6C7D">
            <w:pPr>
              <w:spacing w:after="0"/>
              <w:jc w:val="center"/>
              <w:textAlignment w:val="bottom"/>
              <w:rPr>
                <w:rFonts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服务单位数量</w:t>
            </w:r>
          </w:p>
        </w:tc>
      </w:tr>
      <w:tr w14:paraId="4A34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94" w:type="pct"/>
            <w:vAlign w:val="center"/>
          </w:tcPr>
          <w:p w14:paraId="576F3A11">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3117" w:type="pct"/>
            <w:vAlign w:val="center"/>
          </w:tcPr>
          <w:p w14:paraId="2DDCFE21">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蔬菜瓜果类、肉禽蛋类‌、水产品类配送</w:t>
            </w:r>
          </w:p>
        </w:tc>
        <w:tc>
          <w:tcPr>
            <w:tcW w:w="1288" w:type="pct"/>
            <w:vAlign w:val="center"/>
          </w:tcPr>
          <w:p w14:paraId="2E6C0AA8">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1家</w:t>
            </w:r>
          </w:p>
        </w:tc>
      </w:tr>
      <w:tr w14:paraId="099A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94" w:type="pct"/>
            <w:vAlign w:val="center"/>
          </w:tcPr>
          <w:p w14:paraId="0A863913">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p>
        </w:tc>
        <w:tc>
          <w:tcPr>
            <w:tcW w:w="3117" w:type="pct"/>
            <w:vAlign w:val="center"/>
          </w:tcPr>
          <w:p w14:paraId="3FA531A1">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粮油、</w:t>
            </w:r>
            <w:r>
              <w:rPr>
                <w:rFonts w:hint="eastAsia" w:ascii="宋体" w:hAnsi="宋体" w:eastAsia="宋体" w:cs="宋体"/>
                <w:color w:val="auto"/>
                <w:sz w:val="21"/>
                <w:szCs w:val="21"/>
                <w:highlight w:val="none"/>
                <w:lang w:eastAsia="zh-CN"/>
              </w:rPr>
              <w:t>副食品调味料干货类</w:t>
            </w:r>
            <w:r>
              <w:rPr>
                <w:rFonts w:hint="eastAsia" w:ascii="宋体" w:hAnsi="宋体" w:eastAsia="宋体" w:cs="宋体"/>
                <w:color w:val="auto"/>
                <w:sz w:val="21"/>
                <w:szCs w:val="21"/>
                <w:highlight w:val="none"/>
              </w:rPr>
              <w:t>配送</w:t>
            </w:r>
          </w:p>
        </w:tc>
        <w:tc>
          <w:tcPr>
            <w:tcW w:w="1288" w:type="pct"/>
            <w:vAlign w:val="center"/>
          </w:tcPr>
          <w:p w14:paraId="6FF04A68">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1家</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6654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1AEEC18F">
      <w:pPr>
        <w:pStyle w:val="4"/>
        <w:spacing w:line="360" w:lineRule="auto"/>
        <w:jc w:val="left"/>
        <w:rPr>
          <w:rFonts w:ascii="宋体" w:hAnsi="宋体" w:cs="宋体"/>
          <w:b w:val="0"/>
          <w:color w:val="auto"/>
          <w:sz w:val="21"/>
          <w:szCs w:val="21"/>
          <w:highlight w:val="none"/>
        </w:rPr>
      </w:pPr>
      <w:bookmarkStart w:id="10" w:name="_Toc35393791"/>
      <w:bookmarkStart w:id="11" w:name="_Toc28359003"/>
      <w:bookmarkStart w:id="12" w:name="_Toc35393622"/>
      <w:bookmarkStart w:id="13" w:name="_Toc28359080"/>
      <w:bookmarkStart w:id="14" w:name="_Toc25198"/>
      <w:r>
        <w:rPr>
          <w:rFonts w:hint="eastAsia" w:ascii="宋体" w:hAnsi="宋体" w:cs="宋体"/>
          <w:bCs/>
          <w:color w:val="auto"/>
          <w:sz w:val="21"/>
          <w:szCs w:val="21"/>
          <w:highlight w:val="none"/>
        </w:rPr>
        <w:t>二、申请人的资格要求：</w:t>
      </w:r>
      <w:bookmarkEnd w:id="10"/>
      <w:bookmarkEnd w:id="11"/>
      <w:bookmarkEnd w:id="12"/>
      <w:bookmarkEnd w:id="13"/>
      <w:bookmarkEnd w:id="14"/>
    </w:p>
    <w:p w14:paraId="54CB1F71">
      <w:pPr>
        <w:widowControl/>
        <w:spacing w:line="360" w:lineRule="auto"/>
        <w:ind w:firstLine="420" w:firstLineChars="200"/>
        <w:outlineLvl w:val="2"/>
        <w:rPr>
          <w:rFonts w:ascii="宋体" w:hAnsi="宋体"/>
          <w:color w:val="auto"/>
          <w:szCs w:val="21"/>
          <w:highlight w:val="none"/>
        </w:rPr>
      </w:pPr>
      <w:bookmarkStart w:id="15" w:name="_Toc16211"/>
      <w:bookmarkStart w:id="16" w:name="_Toc28359081"/>
      <w:bookmarkStart w:id="17" w:name="_Toc28359004"/>
      <w:r>
        <w:rPr>
          <w:rFonts w:hint="eastAsia" w:ascii="宋体" w:hAnsi="宋体"/>
          <w:color w:val="auto"/>
          <w:szCs w:val="21"/>
          <w:highlight w:val="none"/>
        </w:rPr>
        <w:t>1.投标供应商应具备</w:t>
      </w:r>
      <w:r>
        <w:rPr>
          <w:rFonts w:hint="eastAsia" w:ascii="宋体" w:hAnsi="宋体"/>
          <w:color w:val="auto"/>
          <w:szCs w:val="21"/>
          <w:highlight w:val="none"/>
          <w:lang w:val="en-US" w:eastAsia="zh-CN"/>
        </w:rPr>
        <w:t>的</w:t>
      </w:r>
      <w:r>
        <w:rPr>
          <w:rFonts w:hint="eastAsia" w:ascii="宋体" w:hAnsi="宋体"/>
          <w:color w:val="auto"/>
          <w:szCs w:val="21"/>
          <w:highlight w:val="none"/>
        </w:rPr>
        <w:t>条件，提供下列材料：</w:t>
      </w:r>
      <w:bookmarkEnd w:id="15"/>
    </w:p>
    <w:p w14:paraId="723A31E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C8A391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w:t>
      </w:r>
      <w:r>
        <w:rPr>
          <w:rFonts w:hint="eastAsia" w:ascii="宋体" w:hAnsi="宋体"/>
          <w:color w:val="auto"/>
          <w:szCs w:val="21"/>
          <w:highlight w:val="none"/>
          <w:lang w:val="en-US"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15A85F6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37959925">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0321828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6）信用记录：供应商未被列入“信用中国”网站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www.creditchina.gov.cn)“记录失信被执行人或</w:t>
      </w:r>
      <w:r>
        <w:rPr>
          <w:rFonts w:hint="eastAsia" w:ascii="宋体" w:hAnsi="宋体"/>
          <w:color w:val="auto"/>
          <w:szCs w:val="21"/>
          <w:highlight w:val="none"/>
          <w:lang w:eastAsia="zh-CN"/>
        </w:rPr>
        <w:t>税收违法黑名单</w:t>
      </w:r>
      <w:r>
        <w:rPr>
          <w:rFonts w:hint="eastAsia" w:ascii="宋体" w:hAnsi="宋体"/>
          <w:color w:val="auto"/>
          <w:szCs w:val="21"/>
          <w:highlight w:val="none"/>
        </w:rPr>
        <w:t>”记录名单；不处于中国政府采购网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 xml:space="preserve">www.ccgp.gov.cn)“政府采购严重违法失信行为信息记录”中的禁止参加政府采购活动期间。（以招标代理机构于投标截止时间当天在“信用中国”网站（www.creditchina.gov.cn）及中国政府采购网（http://www.ccgp.gov.cn/）查询结果为准，如相关失信记录已失效，供应商需提供相关证明资料）。 </w:t>
      </w:r>
    </w:p>
    <w:p w14:paraId="7E1F084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3F2B0AA4">
      <w:pPr>
        <w:widowControl/>
        <w:spacing w:line="360" w:lineRule="auto"/>
        <w:ind w:firstLine="420" w:firstLineChars="200"/>
        <w:rPr>
          <w:rFonts w:hint="eastAsia" w:ascii="宋体" w:hAnsi="宋体"/>
          <w:color w:val="auto"/>
          <w:szCs w:val="21"/>
          <w:highlight w:val="none"/>
        </w:rPr>
      </w:pPr>
      <w:bookmarkStart w:id="18" w:name="_Toc26119"/>
      <w:r>
        <w:rPr>
          <w:rFonts w:hint="eastAsia" w:ascii="宋体" w:hAnsi="宋体"/>
          <w:color w:val="auto"/>
          <w:szCs w:val="21"/>
          <w:highlight w:val="none"/>
        </w:rPr>
        <w:t>2.本项目的特定资格要求：</w:t>
      </w:r>
      <w:bookmarkEnd w:id="18"/>
    </w:p>
    <w:p w14:paraId="77ACBE7A">
      <w:pPr>
        <w:spacing w:line="360" w:lineRule="auto"/>
        <w:ind w:firstLine="420" w:firstLineChars="200"/>
        <w:rPr>
          <w:rFonts w:ascii="宋体" w:hAnsi="宋体" w:cs="宋体"/>
          <w:i/>
          <w:iCs/>
          <w:color w:val="auto"/>
          <w:szCs w:val="21"/>
          <w:highlight w:val="none"/>
          <w:u w:val="single"/>
        </w:rPr>
      </w:pPr>
      <w:r>
        <w:rPr>
          <w:rFonts w:hint="eastAsia" w:ascii="宋体" w:hAnsi="宋体"/>
          <w:color w:val="auto"/>
          <w:szCs w:val="21"/>
          <w:highlight w:val="none"/>
        </w:rPr>
        <w:t>（1）无。</w:t>
      </w:r>
    </w:p>
    <w:p w14:paraId="1F4BE08B">
      <w:pPr>
        <w:pStyle w:val="4"/>
        <w:spacing w:line="360" w:lineRule="auto"/>
        <w:jc w:val="left"/>
        <w:rPr>
          <w:rFonts w:ascii="宋体" w:hAnsi="宋体" w:cs="宋体"/>
          <w:bCs/>
          <w:color w:val="auto"/>
          <w:sz w:val="21"/>
          <w:szCs w:val="21"/>
          <w:highlight w:val="none"/>
        </w:rPr>
      </w:pPr>
      <w:bookmarkStart w:id="19" w:name="_Toc35393792"/>
      <w:bookmarkStart w:id="20" w:name="_Toc35393623"/>
      <w:bookmarkStart w:id="21" w:name="_Toc173"/>
      <w:r>
        <w:rPr>
          <w:rFonts w:hint="eastAsia" w:ascii="宋体" w:hAnsi="宋体" w:cs="宋体"/>
          <w:bCs/>
          <w:color w:val="auto"/>
          <w:sz w:val="21"/>
          <w:szCs w:val="21"/>
          <w:highlight w:val="none"/>
        </w:rPr>
        <w:t>三、获取招标文件</w:t>
      </w:r>
      <w:bookmarkEnd w:id="16"/>
      <w:bookmarkEnd w:id="17"/>
      <w:bookmarkEnd w:id="19"/>
      <w:bookmarkEnd w:id="20"/>
      <w:bookmarkEnd w:id="21"/>
    </w:p>
    <w:p w14:paraId="6252F646">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p>
    <w:p w14:paraId="7E850BBC">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2、获取招标文件时间：202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 xml:space="preserve">日（节假日除外），上午9：00～12：00，下午14：30～17：30（北京时间）； </w:t>
      </w:r>
    </w:p>
    <w:p w14:paraId="6EC193E6">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注：（1）现场支持现金支付、微信支付、支付宝支付等支付方式，现场填写“获取招标文件登记表”并将相应表格交予我司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F04F2D3">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（2）招标文件电子版可在</w:t>
      </w:r>
      <w:r>
        <w:rPr>
          <w:rFonts w:hint="eastAsia" w:ascii="宋体" w:hAnsi="宋体"/>
          <w:color w:val="auto"/>
          <w:szCs w:val="21"/>
          <w:highlight w:val="none"/>
        </w:rPr>
        <w:t>中国采购与招标网</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rPr>
        <w:t>相关招标信息公告下自行下载。</w:t>
      </w:r>
    </w:p>
    <w:p w14:paraId="38C48436">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3、获取招标文件地点：东莞市南城街道鸿福西路81号国际商会大厦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6B26FF64">
      <w:pPr>
        <w:pStyle w:val="24"/>
        <w:tabs>
          <w:tab w:val="left" w:pos="804"/>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邓祺</w:t>
      </w:r>
    </w:p>
    <w:p w14:paraId="5572554F">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6D7F0D3C">
      <w:pPr>
        <w:pStyle w:val="24"/>
        <w:tabs>
          <w:tab w:val="left" w:pos="804"/>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00.00元</w:t>
      </w:r>
    </w:p>
    <w:p w14:paraId="3DFB2198">
      <w:pPr>
        <w:pStyle w:val="4"/>
        <w:spacing w:line="360" w:lineRule="auto"/>
        <w:jc w:val="left"/>
        <w:rPr>
          <w:rFonts w:ascii="宋体" w:hAnsi="宋体" w:cs="宋体"/>
          <w:bCs/>
          <w:color w:val="auto"/>
          <w:sz w:val="21"/>
          <w:szCs w:val="21"/>
          <w:highlight w:val="none"/>
        </w:rPr>
      </w:pPr>
      <w:bookmarkStart w:id="22" w:name="_Toc28359082"/>
      <w:bookmarkStart w:id="23" w:name="_Toc28359005"/>
      <w:bookmarkStart w:id="24" w:name="_Toc28585"/>
      <w:bookmarkStart w:id="25" w:name="_Toc35393624"/>
      <w:bookmarkStart w:id="26" w:name="_Toc35393793"/>
      <w:r>
        <w:rPr>
          <w:rFonts w:hint="eastAsia" w:ascii="宋体" w:hAnsi="宋体" w:cs="宋体"/>
          <w:bCs/>
          <w:color w:val="auto"/>
          <w:sz w:val="21"/>
          <w:szCs w:val="21"/>
          <w:highlight w:val="none"/>
        </w:rPr>
        <w:t>四、提交投标文件</w:t>
      </w:r>
      <w:bookmarkEnd w:id="22"/>
      <w:bookmarkEnd w:id="23"/>
      <w:r>
        <w:rPr>
          <w:rFonts w:hint="eastAsia" w:ascii="宋体" w:hAnsi="宋体" w:cs="宋体"/>
          <w:bCs/>
          <w:color w:val="auto"/>
          <w:sz w:val="21"/>
          <w:szCs w:val="21"/>
          <w:highlight w:val="none"/>
        </w:rPr>
        <w:t>截止时间、开标时间和地点</w:t>
      </w:r>
      <w:bookmarkEnd w:id="24"/>
      <w:bookmarkEnd w:id="25"/>
      <w:bookmarkEnd w:id="26"/>
    </w:p>
    <w:p w14:paraId="7DCE8728">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20</w:t>
      </w:r>
      <w:r>
        <w:rPr>
          <w:rFonts w:hint="eastAsia" w:ascii="宋体" w:hAnsi="宋体" w:cs="宋体"/>
          <w:bCs/>
          <w:color w:val="auto"/>
          <w:szCs w:val="21"/>
          <w:highlight w:val="none"/>
          <w:u w:val="single"/>
          <w:lang w:val="en-US" w:eastAsia="zh-CN"/>
        </w:rPr>
        <w:t>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21</w:t>
      </w:r>
      <w:bookmarkStart w:id="174" w:name="_GoBack"/>
      <w:bookmarkEnd w:id="174"/>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w:t>
      </w:r>
    </w:p>
    <w:p w14:paraId="4096E06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r>
        <w:rPr>
          <w:rFonts w:hint="eastAsia" w:ascii="宋体" w:hAnsi="宋体" w:eastAsia="宋体" w:cs="宋体"/>
          <w:i w:val="0"/>
          <w:iCs w:val="0"/>
          <w:caps w:val="0"/>
          <w:color w:val="auto"/>
          <w:spacing w:val="0"/>
          <w:sz w:val="21"/>
          <w:szCs w:val="21"/>
          <w:highlight w:val="none"/>
        </w:rPr>
        <w:t>。</w:t>
      </w:r>
    </w:p>
    <w:p w14:paraId="07EC7177">
      <w:pPr>
        <w:pStyle w:val="4"/>
        <w:spacing w:line="360" w:lineRule="auto"/>
        <w:jc w:val="left"/>
        <w:rPr>
          <w:rFonts w:ascii="宋体" w:hAnsi="宋体" w:cs="宋体"/>
          <w:bCs/>
          <w:color w:val="auto"/>
          <w:sz w:val="21"/>
          <w:szCs w:val="21"/>
          <w:highlight w:val="none"/>
        </w:rPr>
      </w:pPr>
      <w:bookmarkStart w:id="27" w:name="_Toc35393625"/>
      <w:bookmarkStart w:id="28" w:name="_Toc35393794"/>
      <w:bookmarkStart w:id="29" w:name="_Toc28359084"/>
      <w:bookmarkStart w:id="30" w:name="_Toc28359007"/>
      <w:bookmarkStart w:id="31" w:name="_Toc25695"/>
      <w:r>
        <w:rPr>
          <w:rFonts w:hint="eastAsia" w:ascii="宋体" w:hAnsi="宋体" w:cs="宋体"/>
          <w:bCs/>
          <w:color w:val="auto"/>
          <w:sz w:val="21"/>
          <w:szCs w:val="21"/>
          <w:highlight w:val="none"/>
        </w:rPr>
        <w:t>五、公告期限</w:t>
      </w:r>
      <w:bookmarkEnd w:id="27"/>
      <w:bookmarkEnd w:id="28"/>
      <w:bookmarkEnd w:id="29"/>
      <w:bookmarkEnd w:id="30"/>
      <w:bookmarkEnd w:id="31"/>
    </w:p>
    <w:p w14:paraId="7BBA91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0BCEE8">
      <w:pPr>
        <w:pStyle w:val="4"/>
        <w:spacing w:line="360" w:lineRule="auto"/>
        <w:jc w:val="left"/>
        <w:rPr>
          <w:rFonts w:ascii="宋体" w:hAnsi="宋体" w:cs="宋体"/>
          <w:bCs/>
          <w:color w:val="auto"/>
          <w:sz w:val="21"/>
          <w:szCs w:val="21"/>
          <w:highlight w:val="none"/>
        </w:rPr>
      </w:pPr>
      <w:bookmarkStart w:id="32" w:name="_Toc1519"/>
      <w:bookmarkStart w:id="33" w:name="_Toc35393795"/>
      <w:bookmarkStart w:id="34" w:name="_Toc35393626"/>
      <w:r>
        <w:rPr>
          <w:rFonts w:hint="eastAsia" w:ascii="宋体" w:hAnsi="宋体" w:cs="宋体"/>
          <w:bCs/>
          <w:color w:val="auto"/>
          <w:sz w:val="21"/>
          <w:szCs w:val="21"/>
          <w:highlight w:val="none"/>
        </w:rPr>
        <w:t>六、其他补充事宜</w:t>
      </w:r>
      <w:bookmarkEnd w:id="32"/>
      <w:bookmarkEnd w:id="33"/>
      <w:bookmarkEnd w:id="34"/>
    </w:p>
    <w:p w14:paraId="6C45C7C7">
      <w:pPr>
        <w:widowControl/>
        <w:spacing w:line="360" w:lineRule="auto"/>
        <w:ind w:firstLine="420" w:firstLineChars="200"/>
        <w:rPr>
          <w:rFonts w:ascii="宋体" w:hAnsi="宋体"/>
          <w:color w:val="auto"/>
          <w:szCs w:val="21"/>
          <w:highlight w:val="none"/>
        </w:rPr>
      </w:pPr>
      <w:bookmarkStart w:id="35" w:name="_Toc28359085"/>
      <w:bookmarkStart w:id="36" w:name="_Toc35393627"/>
      <w:bookmarkStart w:id="37" w:name="_Toc35393796"/>
      <w:bookmarkStart w:id="38" w:name="_Toc28359008"/>
      <w:r>
        <w:rPr>
          <w:rFonts w:hint="eastAsia" w:ascii="宋体" w:hAnsi="宋体"/>
          <w:color w:val="auto"/>
          <w:szCs w:val="21"/>
          <w:highlight w:val="none"/>
        </w:rPr>
        <w:t>1、招标文件公示/下载媒体</w:t>
      </w:r>
    </w:p>
    <w:p w14:paraId="123A5455">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中国采购与招标网(https://www.chinabidding.cn/)以及</w:t>
      </w:r>
      <w:r>
        <w:rPr>
          <w:rFonts w:hint="eastAsia" w:ascii="宋体" w:hAnsi="宋体"/>
          <w:color w:val="auto"/>
          <w:szCs w:val="21"/>
          <w:highlight w:val="none"/>
          <w:lang w:eastAsia="zh-CN"/>
        </w:rPr>
        <w:t>国顺招标网</w:t>
      </w:r>
      <w:r>
        <w:rPr>
          <w:rFonts w:hint="eastAsia" w:ascii="宋体" w:hAnsi="宋体"/>
          <w:color w:val="auto"/>
          <w:szCs w:val="21"/>
          <w:highlight w:val="none"/>
        </w:rPr>
        <w:t>（</w:t>
      </w:r>
      <w:r>
        <w:rPr>
          <w:rFonts w:hint="eastAsia" w:ascii="宋体" w:hAnsi="宋体"/>
          <w:color w:val="auto"/>
          <w:szCs w:val="21"/>
          <w:highlight w:val="none"/>
          <w:lang w:eastAsia="zh-CN"/>
        </w:rPr>
        <w:t>http://www.guoshunzb.com/</w:t>
      </w:r>
      <w:r>
        <w:rPr>
          <w:rFonts w:hint="eastAsia" w:ascii="宋体" w:hAnsi="宋体"/>
          <w:color w:val="auto"/>
          <w:szCs w:val="21"/>
          <w:highlight w:val="none"/>
        </w:rPr>
        <w:t xml:space="preserve">） </w:t>
      </w:r>
    </w:p>
    <w:p w14:paraId="47638FEB">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2、拟参加本项目的潜在投标人须在规定时间内按要求获取招标文件后方可参与本项目的投标。获取招标文件后而不参加投标的潜在投标人，请在开标日期三日前以书面形式通知招标代理机构。</w:t>
      </w:r>
    </w:p>
    <w:p w14:paraId="05B0A77D">
      <w:pPr>
        <w:pStyle w:val="4"/>
        <w:spacing w:line="360" w:lineRule="auto"/>
        <w:jc w:val="left"/>
        <w:rPr>
          <w:rFonts w:ascii="宋体" w:hAnsi="宋体" w:cs="宋体"/>
          <w:bCs/>
          <w:color w:val="auto"/>
          <w:sz w:val="21"/>
          <w:szCs w:val="21"/>
          <w:highlight w:val="none"/>
        </w:rPr>
      </w:pPr>
      <w:bookmarkStart w:id="39" w:name="_Toc5139"/>
      <w:r>
        <w:rPr>
          <w:rFonts w:hint="eastAsia" w:ascii="宋体" w:hAnsi="宋体" w:cs="宋体"/>
          <w:bCs/>
          <w:color w:val="auto"/>
          <w:sz w:val="21"/>
          <w:szCs w:val="21"/>
          <w:highlight w:val="none"/>
        </w:rPr>
        <w:t>七、对本次招标提出询问，请按以下方式联系。</w:t>
      </w:r>
      <w:bookmarkEnd w:id="35"/>
      <w:bookmarkEnd w:id="36"/>
      <w:bookmarkEnd w:id="37"/>
      <w:bookmarkEnd w:id="38"/>
      <w:bookmarkEnd w:id="39"/>
    </w:p>
    <w:p w14:paraId="0136E367">
      <w:pPr>
        <w:widowControl/>
        <w:spacing w:line="360" w:lineRule="auto"/>
        <w:outlineLvl w:val="2"/>
        <w:rPr>
          <w:rFonts w:ascii="宋体" w:hAnsi="宋体" w:cs="宋体"/>
          <w:b/>
          <w:bCs/>
          <w:color w:val="auto"/>
          <w:szCs w:val="21"/>
          <w:highlight w:val="none"/>
        </w:rPr>
      </w:pPr>
      <w:bookmarkStart w:id="40" w:name="_Toc31577"/>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信息</w:t>
      </w:r>
      <w:bookmarkEnd w:id="40"/>
    </w:p>
    <w:p w14:paraId="7C593148">
      <w:pPr>
        <w:spacing w:line="360" w:lineRule="auto"/>
        <w:ind w:left="263" w:hanging="262" w:hangingChars="12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东莞市第二高级中学</w:t>
      </w:r>
    </w:p>
    <w:p w14:paraId="0ED0B1D8">
      <w:pPr>
        <w:spacing w:line="360" w:lineRule="auto"/>
        <w:ind w:left="263" w:hanging="262" w:hangingChars="125"/>
        <w:rPr>
          <w:rFonts w:hint="default" w:ascii="宋体" w:hAnsi="宋体" w:cs="宋体"/>
          <w:color w:val="auto"/>
          <w:szCs w:val="21"/>
          <w:highlight w:val="none"/>
          <w:lang w:val="en-US"/>
        </w:rPr>
      </w:pPr>
      <w:bookmarkStart w:id="41" w:name="_Toc28359009"/>
      <w:bookmarkStart w:id="42" w:name="_Toc4580"/>
      <w:bookmarkStart w:id="43" w:name="_Toc28359086"/>
      <w:r>
        <w:rPr>
          <w:rFonts w:hint="eastAsia" w:ascii="宋体" w:hAnsi="宋体" w:cs="宋体"/>
          <w:color w:val="auto"/>
          <w:szCs w:val="21"/>
          <w:highlight w:val="none"/>
        </w:rPr>
        <w:t>地  址：</w:t>
      </w:r>
      <w:r>
        <w:rPr>
          <w:rFonts w:hint="eastAsia" w:ascii="宋体" w:hAnsi="宋体" w:eastAsia="宋体"/>
          <w:bCs/>
          <w:color w:val="auto"/>
          <w:sz w:val="21"/>
          <w:szCs w:val="21"/>
          <w:highlight w:val="none"/>
        </w:rPr>
        <w:t>东莞市东城区</w:t>
      </w:r>
    </w:p>
    <w:p w14:paraId="69A168FB">
      <w:pPr>
        <w:spacing w:line="360" w:lineRule="auto"/>
        <w:ind w:left="263" w:hanging="262" w:hangingChars="125"/>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黄</w:t>
      </w:r>
      <w:r>
        <w:rPr>
          <w:rFonts w:hint="eastAsia" w:ascii="宋体" w:hAnsi="宋体" w:cs="宋体"/>
          <w:color w:val="auto"/>
          <w:szCs w:val="21"/>
          <w:highlight w:val="none"/>
        </w:rPr>
        <w:t>老师</w:t>
      </w:r>
    </w:p>
    <w:p w14:paraId="7C93E9F7">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联系方式：0769-22464912</w:t>
      </w:r>
    </w:p>
    <w:p w14:paraId="3FAB19C0">
      <w:pPr>
        <w:spacing w:line="360" w:lineRule="auto"/>
        <w:ind w:left="264" w:hanging="264" w:hangingChars="125"/>
        <w:outlineLvl w:val="2"/>
        <w:rPr>
          <w:rFonts w:ascii="宋体" w:hAnsi="宋体" w:cs="宋体"/>
          <w:b/>
          <w:bCs/>
          <w:color w:val="auto"/>
          <w:szCs w:val="21"/>
          <w:highlight w:val="none"/>
        </w:rPr>
      </w:pPr>
      <w:r>
        <w:rPr>
          <w:rFonts w:hint="eastAsia" w:ascii="宋体" w:hAnsi="宋体" w:cs="宋体"/>
          <w:b/>
          <w:bCs/>
          <w:color w:val="auto"/>
          <w:szCs w:val="21"/>
          <w:highlight w:val="none"/>
        </w:rPr>
        <w:t>2.招标代理机构信息</w:t>
      </w:r>
      <w:bookmarkEnd w:id="41"/>
      <w:bookmarkEnd w:id="42"/>
      <w:bookmarkEnd w:id="43"/>
    </w:p>
    <w:p w14:paraId="77660C6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3BC0543">
      <w:pPr>
        <w:spacing w:line="360" w:lineRule="auto"/>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2D04EF26">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44" w:name="_Toc28359087"/>
      <w:bookmarkStart w:id="45" w:name="_Toc28359010"/>
      <w:r>
        <w:rPr>
          <w:rFonts w:hint="eastAsia" w:ascii="宋体" w:hAnsi="宋体" w:cs="宋体"/>
          <w:color w:val="auto"/>
          <w:szCs w:val="21"/>
          <w:highlight w:val="none"/>
        </w:rPr>
        <w:t>0769-22980090</w:t>
      </w:r>
    </w:p>
    <w:p w14:paraId="2A3C5705">
      <w:pPr>
        <w:spacing w:line="360" w:lineRule="auto"/>
        <w:outlineLvl w:val="2"/>
        <w:rPr>
          <w:rFonts w:ascii="宋体" w:hAnsi="宋体" w:cs="宋体"/>
          <w:b/>
          <w:bCs/>
          <w:color w:val="auto"/>
          <w:szCs w:val="21"/>
          <w:highlight w:val="none"/>
        </w:rPr>
      </w:pPr>
      <w:bookmarkStart w:id="46" w:name="_Toc9440"/>
      <w:r>
        <w:rPr>
          <w:rFonts w:hint="eastAsia" w:ascii="宋体" w:hAnsi="宋体" w:cs="宋体"/>
          <w:b/>
          <w:bCs/>
          <w:color w:val="auto"/>
          <w:szCs w:val="21"/>
          <w:highlight w:val="none"/>
        </w:rPr>
        <w:t>3.项目联系方式</w:t>
      </w:r>
      <w:bookmarkEnd w:id="44"/>
      <w:bookmarkEnd w:id="45"/>
      <w:bookmarkEnd w:id="46"/>
    </w:p>
    <w:p w14:paraId="6909EEFB">
      <w:pPr>
        <w:pStyle w:val="10"/>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336C8E5A">
      <w:pPr>
        <w:pStyle w:val="10"/>
        <w:spacing w:line="360" w:lineRule="auto"/>
        <w:rPr>
          <w:rFonts w:hAnsi="宋体" w:eastAsia="宋体" w:cs="宋体"/>
          <w:color w:val="auto"/>
          <w:szCs w:val="21"/>
          <w:highlight w:val="none"/>
        </w:rPr>
      </w:pPr>
      <w:r>
        <w:rPr>
          <w:rFonts w:hint="eastAsia" w:hAnsi="宋体" w:eastAsia="宋体" w:cs="宋体"/>
          <w:color w:val="auto"/>
          <w:szCs w:val="21"/>
          <w:highlight w:val="none"/>
        </w:rPr>
        <w:t>电</w:t>
      </w:r>
      <w:r>
        <w:rPr>
          <w:rFonts w:hint="eastAsia" w:hAnsi="宋体" w:eastAsia="宋体" w:cs="宋体"/>
          <w:color w:val="auto"/>
          <w:szCs w:val="21"/>
          <w:highlight w:val="none"/>
          <w:lang w:val="en-US" w:eastAsia="zh-CN"/>
        </w:rPr>
        <w:t xml:space="preserve">  </w:t>
      </w:r>
      <w:r>
        <w:rPr>
          <w:rFonts w:hint="eastAsia" w:hAnsi="宋体" w:eastAsia="宋体" w:cs="宋体"/>
          <w:color w:val="auto"/>
          <w:szCs w:val="21"/>
          <w:highlight w:val="none"/>
        </w:rPr>
        <w:t xml:space="preserve">    话：0769-22980090</w:t>
      </w:r>
    </w:p>
    <w:p w14:paraId="4293098D">
      <w:pPr>
        <w:rPr>
          <w:rFonts w:ascii="宋体" w:hAnsi="宋体" w:cs="宋体"/>
          <w:color w:val="auto"/>
          <w:szCs w:val="21"/>
          <w:highlight w:val="none"/>
        </w:rPr>
      </w:pPr>
      <w:r>
        <w:rPr>
          <w:rFonts w:hint="eastAsia" w:ascii="宋体" w:hAnsi="宋体" w:cs="宋体"/>
          <w:color w:val="auto"/>
          <w:szCs w:val="21"/>
          <w:highlight w:val="none"/>
        </w:rPr>
        <w:br w:type="page"/>
      </w:r>
    </w:p>
    <w:p w14:paraId="12E59E84">
      <w:pPr>
        <w:pStyle w:val="3"/>
        <w:numPr>
          <w:ilvl w:val="0"/>
          <w:numId w:val="1"/>
        </w:numPr>
        <w:spacing w:line="360" w:lineRule="auto"/>
        <w:rPr>
          <w:color w:val="auto"/>
          <w:highlight w:val="none"/>
        </w:rPr>
      </w:pPr>
      <w:bookmarkStart w:id="47" w:name="_Toc29954"/>
      <w:r>
        <w:rPr>
          <w:rFonts w:hint="eastAsia"/>
          <w:color w:val="auto"/>
          <w:highlight w:val="none"/>
        </w:rPr>
        <w:t>投标人须知</w:t>
      </w:r>
      <w:bookmarkEnd w:id="47"/>
    </w:p>
    <w:p w14:paraId="0A32BB34">
      <w:pPr>
        <w:pStyle w:val="4"/>
        <w:spacing w:line="360" w:lineRule="auto"/>
        <w:rPr>
          <w:color w:val="auto"/>
          <w:highlight w:val="none"/>
          <w:lang w:val="zh-CN"/>
        </w:rPr>
      </w:pPr>
      <w:bookmarkStart w:id="48" w:name="_Toc652"/>
      <w:bookmarkStart w:id="49" w:name="_Toc497983494"/>
      <w:bookmarkStart w:id="50" w:name="_Toc413402429"/>
      <w:bookmarkStart w:id="51" w:name="_Toc396137231"/>
      <w:r>
        <w:rPr>
          <w:rFonts w:hint="eastAsia"/>
          <w:color w:val="auto"/>
          <w:highlight w:val="none"/>
          <w:lang w:val="zh-CN"/>
        </w:rPr>
        <w:t>一、投标须知前附表</w:t>
      </w:r>
      <w:bookmarkEnd w:id="48"/>
      <w:bookmarkEnd w:id="49"/>
      <w:bookmarkEnd w:id="50"/>
      <w:bookmarkEnd w:id="51"/>
    </w:p>
    <w:tbl>
      <w:tblPr>
        <w:tblStyle w:val="17"/>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06"/>
        <w:gridCol w:w="7103"/>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06"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103"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03"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auto"/>
                <w:szCs w:val="21"/>
                <w:highlight w:val="none"/>
              </w:rPr>
            </w:pPr>
            <w:r>
              <w:rPr>
                <w:rFonts w:hint="eastAsia" w:ascii="宋体" w:hAnsi="宋体" w:eastAsia="宋体"/>
                <w:color w:val="auto"/>
                <w:sz w:val="21"/>
                <w:szCs w:val="21"/>
                <w:highlight w:val="none"/>
                <w:lang w:eastAsia="zh-CN"/>
              </w:rPr>
              <w:t>自筹</w:t>
            </w:r>
            <w:r>
              <w:rPr>
                <w:rFonts w:hint="eastAsia" w:ascii="宋体" w:hAnsi="宋体" w:eastAsia="宋体"/>
                <w:color w:val="auto"/>
                <w:sz w:val="21"/>
                <w:szCs w:val="21"/>
                <w:highlight w:val="none"/>
              </w:rPr>
              <w:t>资金</w:t>
            </w:r>
            <w:r>
              <w:rPr>
                <w:rFonts w:hint="eastAsia" w:ascii="宋体" w:hAnsi="宋体" w:cs="宋体"/>
                <w:color w:val="auto"/>
                <w:szCs w:val="21"/>
                <w:highlight w:val="none"/>
              </w:rPr>
              <w:t>。</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03"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103"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auto"/>
                <w:szCs w:val="21"/>
                <w:highlight w:val="none"/>
              </w:rPr>
            </w:pPr>
            <w:r>
              <w:rPr>
                <w:rFonts w:hint="eastAsia"/>
                <w:color w:val="auto"/>
                <w:szCs w:val="28"/>
                <w:highlight w:val="none"/>
              </w:rPr>
              <w:t>投标人应准备一份“开标文件”、一份“投标文件电子文件”、一份正本和</w:t>
            </w:r>
            <w:r>
              <w:rPr>
                <w:rFonts w:hint="eastAsia"/>
                <w:color w:val="auto"/>
                <w:szCs w:val="28"/>
                <w:highlight w:val="none"/>
                <w:lang w:val="en-US" w:eastAsia="zh-CN"/>
              </w:rPr>
              <w:t>五</w:t>
            </w:r>
            <w:r>
              <w:rPr>
                <w:rFonts w:hint="eastAsia"/>
                <w:color w:val="auto"/>
                <w:szCs w:val="28"/>
                <w:highlight w:val="none"/>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投标报价</w:t>
            </w:r>
          </w:p>
        </w:tc>
        <w:tc>
          <w:tcPr>
            <w:tcW w:w="7103"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投标保证金</w:t>
            </w:r>
          </w:p>
        </w:tc>
        <w:tc>
          <w:tcPr>
            <w:tcW w:w="7103" w:type="dxa"/>
            <w:tcBorders>
              <w:top w:val="single" w:color="auto" w:sz="4" w:space="0"/>
              <w:left w:val="single" w:color="auto" w:sz="4" w:space="0"/>
              <w:bottom w:val="single" w:color="auto" w:sz="4" w:space="0"/>
              <w:right w:val="double" w:color="auto" w:sz="4" w:space="0"/>
            </w:tcBorders>
            <w:vAlign w:val="center"/>
          </w:tcPr>
          <w:p w14:paraId="07AD509F">
            <w:pPr>
              <w:pStyle w:val="2"/>
              <w:rPr>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本项目不收取</w:t>
            </w:r>
            <w:r>
              <w:rPr>
                <w:rFonts w:hint="eastAsia" w:ascii="宋体" w:hAnsi="宋体" w:cs="宋体"/>
                <w:color w:val="auto"/>
                <w:szCs w:val="21"/>
                <w:highlight w:val="none"/>
                <w:lang w:eastAsia="zh-CN"/>
              </w:rPr>
              <w:t>）</w:t>
            </w:r>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评标委员会</w:t>
            </w:r>
          </w:p>
        </w:tc>
        <w:tc>
          <w:tcPr>
            <w:tcW w:w="7103"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5</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lang w:val="en-US" w:eastAsia="zh-CN"/>
              </w:rPr>
              <w:t>4</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103"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429752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06"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103"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中国采购与招标网及</w:t>
            </w:r>
            <w:r>
              <w:rPr>
                <w:rFonts w:hint="eastAsia" w:ascii="宋体" w:hAnsi="宋体" w:eastAsia="宋体"/>
                <w:color w:val="auto"/>
                <w:szCs w:val="21"/>
                <w:highlight w:val="none"/>
                <w:lang w:eastAsia="zh-CN"/>
              </w:rPr>
              <w:t>国顺招标网</w:t>
            </w:r>
            <w:r>
              <w:rPr>
                <w:rFonts w:hint="eastAsia" w:ascii="宋体" w:hAnsi="宋体" w:eastAsia="宋体"/>
                <w:color w:val="auto"/>
                <w:szCs w:val="21"/>
                <w:highlight w:val="none"/>
                <w:lang w:val="zh-CN"/>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6C898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06"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rFonts w:hint="default" w:eastAsia="宋体"/>
                <w:color w:val="auto"/>
                <w:highlight w:val="none"/>
                <w:lang w:val="en-US" w:eastAsia="zh-CN"/>
              </w:rPr>
            </w:pPr>
            <w:r>
              <w:rPr>
                <w:rFonts w:hint="eastAsia" w:ascii="宋体" w:hAnsi="宋体" w:cs="宋体"/>
                <w:bCs/>
                <w:color w:val="auto"/>
                <w:szCs w:val="21"/>
                <w:highlight w:val="none"/>
              </w:rPr>
              <w:t>履约保证金</w:t>
            </w:r>
          </w:p>
        </w:tc>
        <w:tc>
          <w:tcPr>
            <w:tcW w:w="7103" w:type="dxa"/>
            <w:tcBorders>
              <w:top w:val="single" w:color="auto" w:sz="4" w:space="0"/>
              <w:left w:val="single" w:color="auto" w:sz="4" w:space="0"/>
              <w:bottom w:val="single" w:color="auto" w:sz="4" w:space="0"/>
              <w:right w:val="double" w:color="auto" w:sz="4" w:space="0"/>
            </w:tcBorders>
            <w:vAlign w:val="center"/>
          </w:tcPr>
          <w:p w14:paraId="1A08E9C7">
            <w:pPr>
              <w:pStyle w:val="14"/>
              <w:rPr>
                <w:rFonts w:hint="eastAsia" w:eastAsia="宋体"/>
                <w:color w:val="auto"/>
                <w:highlight w:val="none"/>
                <w:lang w:eastAsia="zh-CN"/>
              </w:rPr>
            </w:pPr>
            <w:r>
              <w:rPr>
                <w:rFonts w:hint="eastAsia" w:ascii="宋体" w:hAnsi="宋体" w:cs="宋体"/>
                <w:b/>
                <w:bCs/>
                <w:color w:val="auto"/>
                <w:sz w:val="21"/>
                <w:szCs w:val="21"/>
                <w:highlight w:val="none"/>
                <w:lang w:val="en-US" w:eastAsia="zh-CN"/>
              </w:rPr>
              <w:t>不收</w:t>
            </w:r>
            <w:r>
              <w:rPr>
                <w:rFonts w:hint="eastAsia" w:ascii="宋体" w:hAnsi="宋体"/>
                <w:b/>
                <w:bCs/>
                <w:color w:val="auto"/>
                <w:sz w:val="21"/>
                <w:szCs w:val="21"/>
                <w:highlight w:val="none"/>
                <w:lang w:val="en-US" w:eastAsia="zh-CN"/>
              </w:rPr>
              <w:t>取</w:t>
            </w:r>
            <w:r>
              <w:rPr>
                <w:rFonts w:hint="eastAsia" w:ascii="宋体" w:hAnsi="宋体"/>
                <w:color w:val="auto"/>
                <w:sz w:val="21"/>
                <w:szCs w:val="21"/>
                <w:highlight w:val="none"/>
                <w:lang w:val="en-US" w:eastAsia="zh-CN"/>
              </w:rPr>
              <w:t xml:space="preserve">      </w:t>
            </w:r>
            <w:r>
              <w:rPr>
                <w:rFonts w:hint="eastAsia" w:ascii="宋体" w:hAnsi="宋体" w:cs="宋体"/>
                <w:bCs/>
                <w:color w:val="auto"/>
                <w:sz w:val="21"/>
                <w:szCs w:val="21"/>
                <w:highlight w:val="none"/>
                <w:lang w:val="en-US" w:eastAsia="zh-CN"/>
              </w:rPr>
              <w:t xml:space="preserve"> </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306"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中标服务费</w:t>
            </w:r>
          </w:p>
        </w:tc>
        <w:tc>
          <w:tcPr>
            <w:tcW w:w="7103" w:type="dxa"/>
            <w:tcBorders>
              <w:top w:val="single" w:color="auto" w:sz="4" w:space="0"/>
              <w:left w:val="single" w:color="auto" w:sz="4" w:space="0"/>
              <w:bottom w:val="single" w:color="auto" w:sz="4" w:space="0"/>
              <w:right w:val="double" w:color="auto" w:sz="4" w:space="0"/>
            </w:tcBorders>
            <w:vAlign w:val="center"/>
          </w:tcPr>
          <w:p w14:paraId="57D5D8E6">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eastAsia="宋体" w:cs="宋体"/>
                <w:color w:val="auto"/>
                <w:sz w:val="21"/>
                <w:szCs w:val="21"/>
                <w:highlight w:val="none"/>
                <w:lang w:eastAsia="zh-CN"/>
              </w:rPr>
              <w:t>每个采购包定额向中标单位定额收取</w:t>
            </w:r>
            <w:r>
              <w:rPr>
                <w:rFonts w:hint="eastAsia" w:ascii="宋体" w:hAnsi="宋体" w:eastAsia="宋体" w:cs="宋体"/>
                <w:color w:val="auto"/>
                <w:sz w:val="21"/>
                <w:szCs w:val="21"/>
                <w:highlight w:val="none"/>
                <w:lang w:val="en-US" w:eastAsia="zh-CN"/>
              </w:rPr>
              <w:t>人民币</w:t>
            </w:r>
            <w:r>
              <w:rPr>
                <w:rFonts w:hint="eastAsia" w:ascii="宋体" w:hAnsi="宋体" w:eastAsia="宋体" w:cs="宋体"/>
                <w:color w:val="auto"/>
                <w:sz w:val="21"/>
                <w:szCs w:val="21"/>
                <w:highlight w:val="none"/>
                <w:u w:val="single"/>
                <w:lang w:val="en-US" w:eastAsia="zh-CN"/>
              </w:rPr>
              <w:t>叁万</w:t>
            </w:r>
            <w:r>
              <w:rPr>
                <w:rFonts w:hint="eastAsia" w:ascii="宋体" w:hAnsi="宋体" w:eastAsia="宋体" w:cs="宋体"/>
                <w:color w:val="auto"/>
                <w:sz w:val="21"/>
                <w:szCs w:val="21"/>
                <w:highlight w:val="none"/>
                <w:lang w:val="en-US" w:eastAsia="zh-CN"/>
              </w:rPr>
              <w:t>元（</w:t>
            </w:r>
            <w:r>
              <w:rPr>
                <w:rFonts w:hint="eastAsia" w:ascii="宋体" w:hAnsi="宋体" w:eastAsia="宋体" w:cs="宋体"/>
                <w:b w:val="0"/>
                <w:bCs w:val="0"/>
                <w:color w:val="auto"/>
                <w:sz w:val="21"/>
                <w:szCs w:val="21"/>
                <w:highlight w:val="none"/>
                <w:lang w:val="en-US" w:eastAsia="zh-CN"/>
              </w:rPr>
              <w:t>¥30000.00元</w:t>
            </w:r>
            <w:r>
              <w:rPr>
                <w:rFonts w:hint="eastAsia" w:ascii="宋体" w:hAnsi="宋体" w:eastAsia="宋体" w:cs="宋体"/>
                <w:color w:val="auto"/>
                <w:sz w:val="21"/>
                <w:szCs w:val="21"/>
                <w:highlight w:val="none"/>
                <w:lang w:val="en-US" w:eastAsia="zh-CN"/>
              </w:rPr>
              <w:t>）中标服务费。</w:t>
            </w:r>
          </w:p>
          <w:p w14:paraId="7C94E89E">
            <w:pPr>
              <w:spacing w:line="360" w:lineRule="auto"/>
              <w:rPr>
                <w:color w:val="auto"/>
                <w:highlight w:val="none"/>
              </w:rPr>
            </w:pPr>
            <w:r>
              <w:rPr>
                <w:rFonts w:hint="eastAsia"/>
                <w:color w:val="auto"/>
                <w:highlight w:val="none"/>
              </w:rPr>
              <w:t>（2）中标服务费以转账或现金的形式支付。招标代理机构服务费汇入账号：</w:t>
            </w:r>
          </w:p>
          <w:p w14:paraId="079C038F">
            <w:pPr>
              <w:spacing w:line="360" w:lineRule="auto"/>
              <w:rPr>
                <w:color w:val="auto"/>
                <w:highlight w:val="none"/>
              </w:rPr>
            </w:pPr>
            <w:r>
              <w:rPr>
                <w:rFonts w:hint="eastAsia"/>
                <w:color w:val="auto"/>
                <w:highlight w:val="none"/>
              </w:rPr>
              <w:t>收 款 人：国顺招标有限公司</w:t>
            </w:r>
          </w:p>
          <w:p w14:paraId="3339A023">
            <w:pPr>
              <w:spacing w:line="360" w:lineRule="auto"/>
              <w:rPr>
                <w:color w:val="auto"/>
                <w:highlight w:val="none"/>
              </w:rPr>
            </w:pPr>
            <w:r>
              <w:rPr>
                <w:rFonts w:hint="eastAsia"/>
                <w:color w:val="auto"/>
                <w:highlight w:val="none"/>
              </w:rPr>
              <w:t>开户银行：广发银行股份有限公司东莞南城支行</w:t>
            </w:r>
          </w:p>
          <w:p w14:paraId="007FD168">
            <w:pPr>
              <w:spacing w:line="360" w:lineRule="auto"/>
              <w:rPr>
                <w:color w:val="auto"/>
                <w:highlight w:val="none"/>
              </w:rPr>
            </w:pPr>
            <w:r>
              <w:rPr>
                <w:rFonts w:hint="eastAsia"/>
                <w:color w:val="auto"/>
                <w:highlight w:val="none"/>
              </w:rPr>
              <w:t>账</w:t>
            </w:r>
            <w:r>
              <w:rPr>
                <w:rFonts w:hint="eastAsia"/>
                <w:color w:val="auto"/>
                <w:highlight w:val="none"/>
                <w:lang w:val="en-US" w:eastAsia="zh-CN"/>
              </w:rPr>
              <w:t xml:space="preserve">    </w:t>
            </w:r>
            <w:r>
              <w:rPr>
                <w:rFonts w:hint="eastAsia" w:ascii="宋体" w:hAnsi="宋体" w:cs="宋体"/>
                <w:color w:val="auto"/>
                <w:highlight w:val="none"/>
              </w:rPr>
              <w:t>号：9550882021051988873</w:t>
            </w:r>
          </w:p>
        </w:tc>
      </w:tr>
    </w:tbl>
    <w:p w14:paraId="6737BC2C">
      <w:pPr>
        <w:rPr>
          <w:color w:val="auto"/>
          <w:highlight w:val="none"/>
        </w:rPr>
      </w:pPr>
      <w:r>
        <w:rPr>
          <w:color w:val="auto"/>
          <w:highlight w:val="none"/>
        </w:rPr>
        <w:br w:type="page"/>
      </w:r>
    </w:p>
    <w:p w14:paraId="39205564">
      <w:pPr>
        <w:pStyle w:val="4"/>
        <w:numPr>
          <w:ilvl w:val="0"/>
          <w:numId w:val="2"/>
        </w:numPr>
        <w:rPr>
          <w:color w:val="auto"/>
          <w:highlight w:val="none"/>
        </w:rPr>
      </w:pPr>
      <w:bookmarkStart w:id="52" w:name="_Toc21639"/>
      <w:r>
        <w:rPr>
          <w:rFonts w:hint="eastAsia"/>
          <w:color w:val="auto"/>
          <w:highlight w:val="none"/>
        </w:rPr>
        <w:t>投标须知</w:t>
      </w:r>
      <w:bookmarkEnd w:id="52"/>
    </w:p>
    <w:p w14:paraId="551D3CD8">
      <w:pPr>
        <w:pStyle w:val="2"/>
        <w:rPr>
          <w:color w:val="auto"/>
          <w:highlight w:val="none"/>
        </w:rPr>
      </w:pPr>
      <w:bookmarkStart w:id="53" w:name="_Toc2381"/>
      <w:bookmarkStart w:id="54" w:name="_Toc20860"/>
      <w:r>
        <w:rPr>
          <w:rFonts w:hint="eastAsia"/>
          <w:color w:val="auto"/>
          <w:highlight w:val="none"/>
        </w:rPr>
        <w:t>1.适用范围</w:t>
      </w:r>
      <w:bookmarkEnd w:id="53"/>
      <w:bookmarkEnd w:id="54"/>
    </w:p>
    <w:p w14:paraId="0D020B3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招标范围：见本招标文件《用户需求书》</w:t>
      </w:r>
    </w:p>
    <w:p w14:paraId="358A198C">
      <w:pPr>
        <w:spacing w:line="400" w:lineRule="exact"/>
        <w:rPr>
          <w:rFonts w:ascii="宋体" w:hAnsi="宋体" w:cs="宋体"/>
          <w:color w:val="auto"/>
          <w:szCs w:val="21"/>
          <w:highlight w:val="none"/>
        </w:rPr>
      </w:pPr>
    </w:p>
    <w:p w14:paraId="2F1FF252">
      <w:pPr>
        <w:pStyle w:val="2"/>
        <w:rPr>
          <w:color w:val="auto"/>
          <w:highlight w:val="none"/>
        </w:rPr>
      </w:pPr>
      <w:bookmarkStart w:id="55" w:name="_Toc15203"/>
      <w:bookmarkStart w:id="56" w:name="_Toc6621"/>
      <w:r>
        <w:rPr>
          <w:rFonts w:hint="eastAsia"/>
          <w:color w:val="auto"/>
          <w:highlight w:val="none"/>
        </w:rPr>
        <w:t>2.</w:t>
      </w:r>
      <w:bookmarkStart w:id="57" w:name="_Toc298847174"/>
      <w:bookmarkStart w:id="58" w:name="_Toc382049092"/>
      <w:bookmarkStart w:id="59" w:name="_Toc1530"/>
      <w:bookmarkStart w:id="60" w:name="_Toc303084246"/>
      <w:r>
        <w:rPr>
          <w:rFonts w:hint="eastAsia"/>
          <w:color w:val="auto"/>
          <w:highlight w:val="none"/>
        </w:rPr>
        <w:t>定义</w:t>
      </w:r>
      <w:bookmarkEnd w:id="55"/>
      <w:bookmarkEnd w:id="56"/>
      <w:bookmarkEnd w:id="57"/>
      <w:bookmarkEnd w:id="58"/>
      <w:bookmarkEnd w:id="59"/>
      <w:bookmarkEnd w:id="60"/>
    </w:p>
    <w:p w14:paraId="6AE3F3E9">
      <w:pPr>
        <w:pStyle w:val="24"/>
        <w:numPr>
          <w:ilvl w:val="0"/>
          <w:numId w:val="3"/>
        </w:numPr>
        <w:spacing w:line="400" w:lineRule="exact"/>
        <w:ind w:firstLineChars="0"/>
        <w:jc w:val="both"/>
        <w:rPr>
          <w:rFonts w:ascii="宋体" w:hAnsi="宋体" w:cs="宋体"/>
          <w:vanish/>
          <w:color w:val="auto"/>
          <w:szCs w:val="21"/>
          <w:highlight w:val="none"/>
        </w:rPr>
      </w:pPr>
    </w:p>
    <w:p w14:paraId="08D2231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：是指依法进行采购的国家机关、事业单位等团体组织。</w:t>
      </w:r>
    </w:p>
    <w:p w14:paraId="5E843CB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投标人：响应招标并且符合招标文件规定资格条件和参加投标竞争的法人、其他组织或者自然人。</w:t>
      </w:r>
    </w:p>
    <w:p w14:paraId="5F233A5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6518CA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中标人：指经评标委员会评审推荐、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确认的获得本项目中标资格的投标人。</w:t>
      </w:r>
    </w:p>
    <w:p w14:paraId="6AED12E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招标代理机构：国顺招标有限公司。</w:t>
      </w:r>
    </w:p>
    <w:p w14:paraId="3CD0B4F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评标委员会：评标委员会是依据</w:t>
      </w:r>
      <w:r>
        <w:rPr>
          <w:rFonts w:hint="eastAsia" w:ascii="宋体" w:hAnsi="宋体" w:cs="宋体"/>
          <w:color w:val="auto"/>
          <w:szCs w:val="21"/>
          <w:highlight w:val="none"/>
          <w:lang w:val="en-US" w:eastAsia="zh-CN"/>
        </w:rPr>
        <w:t>相关法规</w:t>
      </w:r>
      <w:r>
        <w:rPr>
          <w:rFonts w:hint="eastAsia" w:ascii="宋体" w:hAnsi="宋体" w:cs="宋体"/>
          <w:color w:val="auto"/>
          <w:szCs w:val="21"/>
          <w:highlight w:val="none"/>
        </w:rPr>
        <w:t>及其实施条例组建的专门负责本次招标其评标工作的临时性机构。</w:t>
      </w:r>
    </w:p>
    <w:p w14:paraId="2E05A80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合同：指由本次招标所产生的合同或合约文件。</w:t>
      </w:r>
    </w:p>
    <w:p w14:paraId="6C78E2C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公章：公章是</w:t>
      </w:r>
      <w:r>
        <w:rPr>
          <w:rFonts w:hint="eastAsia" w:ascii="宋体" w:hAnsi="宋体" w:cs="宋体"/>
          <w:iCs/>
          <w:color w:val="auto"/>
          <w:szCs w:val="21"/>
          <w:highlight w:val="none"/>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auto"/>
          <w:szCs w:val="21"/>
          <w:highlight w:val="none"/>
        </w:rPr>
        <w:t>）</w:t>
      </w:r>
    </w:p>
    <w:p w14:paraId="50BC022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iCs/>
          <w:color w:val="auto"/>
          <w:szCs w:val="21"/>
          <w:highlight w:val="none"/>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auto"/>
          <w:szCs w:val="21"/>
          <w:highlight w:val="none"/>
        </w:rPr>
      </w:pPr>
    </w:p>
    <w:p w14:paraId="1371BA4B">
      <w:pPr>
        <w:pStyle w:val="2"/>
        <w:rPr>
          <w:color w:val="auto"/>
          <w:highlight w:val="none"/>
        </w:rPr>
      </w:pPr>
      <w:bookmarkStart w:id="61" w:name="_Toc1072"/>
      <w:bookmarkStart w:id="62" w:name="_Toc31531"/>
      <w:r>
        <w:rPr>
          <w:rFonts w:hint="eastAsia"/>
          <w:color w:val="auto"/>
          <w:highlight w:val="none"/>
        </w:rPr>
        <w:t>3.货物和服务</w:t>
      </w:r>
      <w:bookmarkEnd w:id="61"/>
      <w:bookmarkEnd w:id="62"/>
    </w:p>
    <w:p w14:paraId="7C965123">
      <w:pPr>
        <w:pStyle w:val="24"/>
        <w:numPr>
          <w:ilvl w:val="0"/>
          <w:numId w:val="3"/>
        </w:numPr>
        <w:spacing w:line="400" w:lineRule="exact"/>
        <w:ind w:firstLineChars="0"/>
        <w:jc w:val="both"/>
        <w:rPr>
          <w:rFonts w:ascii="宋体" w:hAnsi="宋体" w:cs="宋体"/>
          <w:vanish/>
          <w:color w:val="auto"/>
          <w:szCs w:val="21"/>
          <w:highlight w:val="none"/>
        </w:rPr>
      </w:pPr>
    </w:p>
    <w:p w14:paraId="1971514D">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服务是指除货物和工程以外的其他采购对象，且满足实质性采购需求。</w:t>
      </w:r>
    </w:p>
    <w:p w14:paraId="6F2DC1A7">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投标人提供的所有服务，其质量、技术等特征必须符合国家、行业现行法律、法规的相关标准和有关规定及用户需求。</w:t>
      </w:r>
    </w:p>
    <w:p w14:paraId="5DD7C3B4">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有权拒绝接受任何不合格的服务，由此产生的费用及相关后果均由中标人自行承担；</w:t>
      </w:r>
    </w:p>
    <w:p w14:paraId="4753765C">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auto"/>
          <w:szCs w:val="21"/>
          <w:highlight w:val="none"/>
        </w:rPr>
      </w:pPr>
    </w:p>
    <w:p w14:paraId="5C33C57C">
      <w:pPr>
        <w:pStyle w:val="2"/>
        <w:rPr>
          <w:color w:val="auto"/>
          <w:highlight w:val="none"/>
        </w:rPr>
      </w:pPr>
      <w:bookmarkStart w:id="63" w:name="_Toc32610"/>
      <w:bookmarkStart w:id="64" w:name="_Toc16909"/>
      <w:r>
        <w:rPr>
          <w:rFonts w:hint="eastAsia"/>
          <w:color w:val="auto"/>
          <w:highlight w:val="none"/>
        </w:rPr>
        <w:t>4.投标费用</w:t>
      </w:r>
      <w:bookmarkEnd w:id="63"/>
      <w:bookmarkEnd w:id="64"/>
    </w:p>
    <w:p w14:paraId="57BB9637">
      <w:pPr>
        <w:pStyle w:val="24"/>
        <w:numPr>
          <w:ilvl w:val="0"/>
          <w:numId w:val="3"/>
        </w:numPr>
        <w:spacing w:line="400" w:lineRule="exact"/>
        <w:ind w:firstLineChars="0"/>
        <w:jc w:val="both"/>
        <w:rPr>
          <w:rFonts w:ascii="宋体" w:hAnsi="宋体" w:cs="宋体"/>
          <w:vanish/>
          <w:color w:val="auto"/>
          <w:szCs w:val="21"/>
          <w:highlight w:val="none"/>
        </w:rPr>
      </w:pPr>
    </w:p>
    <w:p w14:paraId="5EFD452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投标人应承担所有与编写投标文件和参加投标有关的自身的所有费用，不论投标的结果如何，招标代理机构和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在任何情况下均无义务和责任承担这些费用。</w:t>
      </w:r>
    </w:p>
    <w:p w14:paraId="3A0439D1">
      <w:pPr>
        <w:spacing w:line="400" w:lineRule="exact"/>
        <w:jc w:val="both"/>
        <w:rPr>
          <w:rFonts w:ascii="宋体" w:hAnsi="宋体" w:cs="宋体"/>
          <w:color w:val="auto"/>
          <w:szCs w:val="21"/>
          <w:highlight w:val="none"/>
        </w:rPr>
      </w:pPr>
    </w:p>
    <w:p w14:paraId="03643016">
      <w:pPr>
        <w:pStyle w:val="2"/>
        <w:rPr>
          <w:color w:val="auto"/>
          <w:highlight w:val="none"/>
        </w:rPr>
      </w:pPr>
      <w:bookmarkStart w:id="65" w:name="_Toc24409"/>
      <w:bookmarkStart w:id="66" w:name="_Toc13316"/>
      <w:r>
        <w:rPr>
          <w:rFonts w:hint="eastAsia"/>
          <w:color w:val="auto"/>
          <w:highlight w:val="none"/>
        </w:rPr>
        <w:t>5.知识产权</w:t>
      </w:r>
      <w:bookmarkEnd w:id="65"/>
      <w:bookmarkEnd w:id="66"/>
    </w:p>
    <w:p w14:paraId="3976319D">
      <w:pPr>
        <w:pStyle w:val="24"/>
        <w:numPr>
          <w:ilvl w:val="0"/>
          <w:numId w:val="3"/>
        </w:numPr>
        <w:spacing w:line="400" w:lineRule="exact"/>
        <w:ind w:firstLineChars="0"/>
        <w:jc w:val="both"/>
        <w:rPr>
          <w:rFonts w:ascii="宋体" w:hAnsi="宋体" w:cs="宋体"/>
          <w:vanish/>
          <w:color w:val="auto"/>
          <w:szCs w:val="21"/>
          <w:highlight w:val="none"/>
        </w:rPr>
      </w:pPr>
    </w:p>
    <w:p w14:paraId="4B54470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享有本项目实施过程中产生的知识成果及知识产权。</w:t>
      </w:r>
    </w:p>
    <w:p w14:paraId="66310DC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1560438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投标人提供的服务、货物经认定存在侵权行为的，其投标无效，并上报相关监管部门。</w:t>
      </w:r>
    </w:p>
    <w:p w14:paraId="36643BB8">
      <w:pPr>
        <w:spacing w:line="400" w:lineRule="exact"/>
        <w:ind w:left="567"/>
        <w:jc w:val="both"/>
        <w:rPr>
          <w:rFonts w:ascii="宋体" w:hAnsi="宋体" w:cs="宋体"/>
          <w:color w:val="auto"/>
          <w:szCs w:val="21"/>
          <w:highlight w:val="none"/>
        </w:rPr>
      </w:pPr>
    </w:p>
    <w:p w14:paraId="44CAFE0B">
      <w:pPr>
        <w:pStyle w:val="2"/>
        <w:rPr>
          <w:color w:val="auto"/>
          <w:highlight w:val="none"/>
        </w:rPr>
      </w:pPr>
      <w:bookmarkStart w:id="67" w:name="_Toc25911"/>
      <w:bookmarkStart w:id="68" w:name="_Toc25530"/>
      <w:r>
        <w:rPr>
          <w:rFonts w:hint="eastAsia"/>
          <w:color w:val="auto"/>
          <w:highlight w:val="none"/>
        </w:rPr>
        <w:t>6.关于联合体投标</w:t>
      </w:r>
      <w:bookmarkEnd w:id="67"/>
      <w:bookmarkEnd w:id="68"/>
    </w:p>
    <w:p w14:paraId="560E0BE9">
      <w:pPr>
        <w:pStyle w:val="24"/>
        <w:numPr>
          <w:ilvl w:val="0"/>
          <w:numId w:val="3"/>
        </w:numPr>
        <w:spacing w:line="400" w:lineRule="exact"/>
        <w:ind w:firstLineChars="0"/>
        <w:jc w:val="both"/>
        <w:rPr>
          <w:rFonts w:ascii="宋体" w:hAnsi="宋体" w:cs="宋体"/>
          <w:vanish/>
          <w:color w:val="auto"/>
          <w:szCs w:val="21"/>
          <w:highlight w:val="none"/>
        </w:rPr>
      </w:pPr>
    </w:p>
    <w:p w14:paraId="52A314E0">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联合体投标必须满足以下条款。（除非投标邀请函中另有规定不接受联合体投标）</w:t>
      </w:r>
    </w:p>
    <w:p w14:paraId="7469FFF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w:t>
      </w:r>
    </w:p>
    <w:p w14:paraId="25087C3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以联合体形式参与项目的供应商在领购招标文件时，应提供所有联合体组成成员的营业执照复印件，并加盖各联合体组成成员的公章。</w:t>
      </w:r>
    </w:p>
    <w:p w14:paraId="2CB1D84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联合体各方均应当符合</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规定的条件。</w:t>
      </w:r>
    </w:p>
    <w:p w14:paraId="067FC750">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规定的特定条件。</w:t>
      </w:r>
    </w:p>
    <w:p w14:paraId="1669FFA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579E711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联合体中有同类资质的投标人按照联合体分工承担相同工作的，应当按照资质等级较低的供应商确定资质等级。</w:t>
      </w:r>
    </w:p>
    <w:p w14:paraId="4455359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59516D70">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联合体进行评分时，联合体各方的资质荣誉、人员、业绩等证明材料均对本项目有效。</w:t>
      </w:r>
    </w:p>
    <w:p w14:paraId="6C7ABEE8">
      <w:pPr>
        <w:spacing w:line="400" w:lineRule="exact"/>
        <w:ind w:left="567"/>
        <w:jc w:val="both"/>
        <w:rPr>
          <w:rFonts w:ascii="宋体" w:hAnsi="宋体" w:cs="宋体"/>
          <w:color w:val="auto"/>
          <w:szCs w:val="21"/>
          <w:highlight w:val="none"/>
        </w:rPr>
      </w:pPr>
    </w:p>
    <w:p w14:paraId="684B67AB">
      <w:pPr>
        <w:pStyle w:val="2"/>
        <w:rPr>
          <w:color w:val="auto"/>
          <w:highlight w:val="none"/>
        </w:rPr>
      </w:pPr>
      <w:bookmarkStart w:id="69" w:name="_Toc27528"/>
      <w:bookmarkStart w:id="70" w:name="_Toc24312"/>
      <w:r>
        <w:rPr>
          <w:rFonts w:hint="eastAsia"/>
          <w:color w:val="auto"/>
          <w:highlight w:val="none"/>
        </w:rPr>
        <w:t>7.关于分支机构投标</w:t>
      </w:r>
      <w:bookmarkEnd w:id="69"/>
      <w:bookmarkEnd w:id="70"/>
    </w:p>
    <w:p w14:paraId="359F7B72">
      <w:pPr>
        <w:pStyle w:val="24"/>
        <w:numPr>
          <w:ilvl w:val="0"/>
          <w:numId w:val="3"/>
        </w:numPr>
        <w:spacing w:line="400" w:lineRule="exact"/>
        <w:ind w:firstLineChars="0"/>
        <w:jc w:val="both"/>
        <w:rPr>
          <w:rFonts w:ascii="宋体" w:hAnsi="宋体" w:cs="宋体"/>
          <w:vanish/>
          <w:color w:val="auto"/>
          <w:szCs w:val="21"/>
          <w:highlight w:val="none"/>
        </w:rPr>
      </w:pPr>
      <w:bookmarkStart w:id="71" w:name="EB389f116341dd4693875bc7987e7327f3"/>
    </w:p>
    <w:p w14:paraId="47A8C91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71"/>
    </w:p>
    <w:p w14:paraId="5E486E89">
      <w:pPr>
        <w:spacing w:line="360" w:lineRule="auto"/>
        <w:rPr>
          <w:rFonts w:ascii="宋体" w:hAnsi="宋体" w:cs="宋体"/>
          <w:color w:val="auto"/>
          <w:szCs w:val="21"/>
          <w:highlight w:val="none"/>
        </w:rPr>
      </w:pPr>
    </w:p>
    <w:p w14:paraId="423BD0BB">
      <w:pPr>
        <w:pStyle w:val="2"/>
        <w:rPr>
          <w:color w:val="auto"/>
          <w:highlight w:val="none"/>
        </w:rPr>
      </w:pPr>
      <w:bookmarkStart w:id="72" w:name="_Toc15490"/>
      <w:bookmarkStart w:id="73" w:name="_Toc13645"/>
      <w:r>
        <w:rPr>
          <w:rFonts w:hint="eastAsia"/>
          <w:color w:val="auto"/>
          <w:highlight w:val="none"/>
        </w:rPr>
        <w:t>8.招标文件的组成</w:t>
      </w:r>
      <w:bookmarkEnd w:id="72"/>
      <w:bookmarkEnd w:id="73"/>
    </w:p>
    <w:p w14:paraId="7A8C3B1E">
      <w:pPr>
        <w:pStyle w:val="24"/>
        <w:numPr>
          <w:ilvl w:val="0"/>
          <w:numId w:val="3"/>
        </w:numPr>
        <w:spacing w:line="400" w:lineRule="exact"/>
        <w:ind w:firstLineChars="0"/>
        <w:jc w:val="both"/>
        <w:rPr>
          <w:rFonts w:ascii="宋体" w:hAnsi="宋体" w:cs="宋体"/>
          <w:vanish/>
          <w:color w:val="auto"/>
          <w:szCs w:val="21"/>
          <w:highlight w:val="none"/>
        </w:rPr>
      </w:pPr>
    </w:p>
    <w:p w14:paraId="79C62E24">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（1）投标邀请；</w:t>
      </w:r>
    </w:p>
    <w:p w14:paraId="18A74AA2">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（2）投标人须知；</w:t>
      </w:r>
    </w:p>
    <w:p w14:paraId="0EF107AA">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4CEABD10">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（4）详细评审；</w:t>
      </w:r>
    </w:p>
    <w:p w14:paraId="2E842A5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（5）合同文本参考格式；</w:t>
      </w:r>
    </w:p>
    <w:p w14:paraId="757DC59F">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696201A6">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（7）开标文件格式；</w:t>
      </w:r>
    </w:p>
    <w:p w14:paraId="0A40C9C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（8）其它文件格式（如有需要）。</w:t>
      </w:r>
    </w:p>
    <w:p w14:paraId="56463F0A">
      <w:pPr>
        <w:widowControl/>
        <w:adjustRightInd w:val="0"/>
        <w:snapToGrid w:val="0"/>
        <w:spacing w:line="400" w:lineRule="exact"/>
        <w:rPr>
          <w:rFonts w:ascii="宋体" w:hAnsi="宋体" w:cs="宋体"/>
          <w:color w:val="auto"/>
          <w:szCs w:val="21"/>
          <w:highlight w:val="none"/>
        </w:rPr>
      </w:pPr>
    </w:p>
    <w:p w14:paraId="113AD048">
      <w:pPr>
        <w:pStyle w:val="2"/>
        <w:rPr>
          <w:color w:val="auto"/>
          <w:highlight w:val="none"/>
        </w:rPr>
      </w:pPr>
      <w:bookmarkStart w:id="74" w:name="_Toc7789"/>
      <w:bookmarkStart w:id="75" w:name="_Toc644"/>
      <w:r>
        <w:rPr>
          <w:rFonts w:hint="eastAsia"/>
          <w:color w:val="auto"/>
          <w:highlight w:val="none"/>
        </w:rPr>
        <w:t>9.招标文件的澄清或修改</w:t>
      </w:r>
      <w:bookmarkEnd w:id="74"/>
      <w:bookmarkEnd w:id="75"/>
    </w:p>
    <w:p w14:paraId="6105B061">
      <w:pPr>
        <w:pStyle w:val="24"/>
        <w:numPr>
          <w:ilvl w:val="0"/>
          <w:numId w:val="3"/>
        </w:numPr>
        <w:spacing w:line="400" w:lineRule="exact"/>
        <w:ind w:firstLineChars="0"/>
        <w:jc w:val="both"/>
        <w:rPr>
          <w:rFonts w:ascii="宋体" w:hAnsi="宋体" w:cs="宋体"/>
          <w:vanish/>
          <w:color w:val="auto"/>
          <w:szCs w:val="21"/>
          <w:highlight w:val="none"/>
        </w:rPr>
      </w:pPr>
    </w:p>
    <w:p w14:paraId="5AF4CF3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或者招标代理机构可以对已发出的招标文件进行必要的澄清或者修改。澄清或者修改的内容可能影响投标文件编制的，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或者招标代理机构应当在投标截止时间至少15日前，以书面形式通知所有获取招标文件的潜在投标人；不足15日的，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或者招标代理机构应当顺延提交投标文件的截止时间。</w:t>
      </w:r>
    </w:p>
    <w:p w14:paraId="16C3644D">
      <w:pPr>
        <w:pStyle w:val="8"/>
        <w:ind w:left="0"/>
        <w:rPr>
          <w:color w:val="auto"/>
          <w:sz w:val="21"/>
          <w:szCs w:val="21"/>
          <w:highlight w:val="none"/>
        </w:rPr>
      </w:pPr>
    </w:p>
    <w:p w14:paraId="57826894">
      <w:pPr>
        <w:pStyle w:val="2"/>
        <w:rPr>
          <w:color w:val="auto"/>
          <w:highlight w:val="none"/>
        </w:rPr>
      </w:pPr>
      <w:bookmarkStart w:id="76" w:name="_Toc6458"/>
      <w:bookmarkStart w:id="77" w:name="_Toc708"/>
      <w:r>
        <w:rPr>
          <w:rFonts w:hint="eastAsia"/>
          <w:color w:val="auto"/>
          <w:highlight w:val="none"/>
        </w:rPr>
        <w:t>10.投标文件的语言及度量衡单位</w:t>
      </w:r>
      <w:bookmarkEnd w:id="76"/>
      <w:bookmarkEnd w:id="77"/>
    </w:p>
    <w:p w14:paraId="7755EC68">
      <w:pPr>
        <w:pStyle w:val="24"/>
        <w:numPr>
          <w:ilvl w:val="0"/>
          <w:numId w:val="3"/>
        </w:numPr>
        <w:spacing w:line="400" w:lineRule="exact"/>
        <w:ind w:firstLineChars="0"/>
        <w:jc w:val="both"/>
        <w:rPr>
          <w:rFonts w:ascii="宋体" w:hAnsi="宋体" w:cs="宋体"/>
          <w:vanish/>
          <w:color w:val="auto"/>
          <w:szCs w:val="21"/>
          <w:highlight w:val="none"/>
        </w:rPr>
      </w:pPr>
    </w:p>
    <w:p w14:paraId="3E6ED82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交的投标文件以及投标人与招标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除非招标文件在技术规格中另有规定，投标人在投标文件中及其与招标代理机构和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所有往来文件中的所有计量单位均应采用中华人民共和国法定计量单位。</w:t>
      </w:r>
    </w:p>
    <w:p w14:paraId="7F7085DC">
      <w:pPr>
        <w:spacing w:line="400" w:lineRule="exact"/>
        <w:ind w:left="567"/>
        <w:jc w:val="both"/>
        <w:rPr>
          <w:rFonts w:ascii="宋体" w:hAnsi="宋体" w:cs="宋体"/>
          <w:color w:val="auto"/>
          <w:szCs w:val="21"/>
          <w:highlight w:val="none"/>
        </w:rPr>
      </w:pPr>
    </w:p>
    <w:p w14:paraId="005C342A">
      <w:pPr>
        <w:pStyle w:val="2"/>
        <w:rPr>
          <w:color w:val="auto"/>
          <w:highlight w:val="none"/>
        </w:rPr>
      </w:pPr>
      <w:bookmarkStart w:id="78" w:name="_Toc8246"/>
      <w:bookmarkStart w:id="79" w:name="_Toc28866"/>
      <w:bookmarkStart w:id="80" w:name="_Toc382049103"/>
      <w:bookmarkStart w:id="81" w:name="_Toc307934854"/>
      <w:bookmarkStart w:id="82" w:name="_Toc29420"/>
      <w:bookmarkStart w:id="83" w:name="_Toc303084256"/>
      <w:r>
        <w:rPr>
          <w:rFonts w:hint="eastAsia"/>
          <w:color w:val="auto"/>
          <w:highlight w:val="none"/>
        </w:rPr>
        <w:t>11.投标文件的组成</w:t>
      </w:r>
      <w:bookmarkEnd w:id="78"/>
      <w:bookmarkEnd w:id="79"/>
      <w:bookmarkEnd w:id="80"/>
      <w:bookmarkEnd w:id="81"/>
      <w:bookmarkEnd w:id="82"/>
      <w:bookmarkEnd w:id="83"/>
    </w:p>
    <w:p w14:paraId="31BBC68B">
      <w:pPr>
        <w:pStyle w:val="24"/>
        <w:numPr>
          <w:ilvl w:val="0"/>
          <w:numId w:val="3"/>
        </w:numPr>
        <w:spacing w:line="400" w:lineRule="exact"/>
        <w:ind w:firstLineChars="0"/>
        <w:jc w:val="both"/>
        <w:rPr>
          <w:rFonts w:ascii="宋体" w:hAnsi="宋体" w:cs="宋体"/>
          <w:vanish/>
          <w:color w:val="auto"/>
          <w:szCs w:val="21"/>
          <w:highlight w:val="none"/>
        </w:rPr>
      </w:pPr>
    </w:p>
    <w:p w14:paraId="1D20C18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包括但不限于招标文件附件格式中要求提供的表格。</w:t>
      </w:r>
    </w:p>
    <w:p w14:paraId="499CD13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auto"/>
          <w:szCs w:val="21"/>
          <w:highlight w:val="none"/>
        </w:rPr>
      </w:pPr>
    </w:p>
    <w:p w14:paraId="337DF166">
      <w:pPr>
        <w:pStyle w:val="2"/>
        <w:rPr>
          <w:color w:val="auto"/>
          <w:highlight w:val="none"/>
        </w:rPr>
      </w:pPr>
      <w:bookmarkStart w:id="84" w:name="_Toc11356"/>
      <w:bookmarkStart w:id="85" w:name="_Toc5980"/>
      <w:r>
        <w:rPr>
          <w:rFonts w:hint="eastAsia"/>
          <w:color w:val="auto"/>
          <w:highlight w:val="none"/>
        </w:rPr>
        <w:t>12.投标文件编制</w:t>
      </w:r>
      <w:bookmarkEnd w:id="84"/>
      <w:bookmarkEnd w:id="85"/>
    </w:p>
    <w:p w14:paraId="07AB223A">
      <w:pPr>
        <w:pStyle w:val="24"/>
        <w:numPr>
          <w:ilvl w:val="0"/>
          <w:numId w:val="3"/>
        </w:numPr>
        <w:spacing w:line="400" w:lineRule="exact"/>
        <w:ind w:firstLineChars="0"/>
        <w:jc w:val="both"/>
        <w:rPr>
          <w:rFonts w:ascii="宋体" w:hAnsi="宋体" w:cs="宋体"/>
          <w:vanish/>
          <w:color w:val="auto"/>
          <w:szCs w:val="21"/>
          <w:highlight w:val="none"/>
        </w:rPr>
      </w:pPr>
      <w:bookmarkStart w:id="86" w:name="_Toc303084258"/>
    </w:p>
    <w:p w14:paraId="0910356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或招标代理机构及采购监督管理部门等对其中任何资料进行核实的要求。</w:t>
      </w:r>
    </w:p>
    <w:p w14:paraId="24E329A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03F814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5E54B8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bookmarkEnd w:id="86"/>
    <w:p w14:paraId="47E2A607">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（一）不同投标人的投标文件由同一单位或者个人编制；</w:t>
      </w:r>
    </w:p>
    <w:p w14:paraId="54DB91EC">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（二）不同投标人委托同一单位或者个人办理投标事宜；</w:t>
      </w:r>
    </w:p>
    <w:p w14:paraId="7809A93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（三）不同投标人的投标文件载明的项目管理成员或者联系人员为同一人；</w:t>
      </w:r>
    </w:p>
    <w:p w14:paraId="00222B90">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（四）不同投标人的投标文件异常一致或者投标报价呈规律性差异；</w:t>
      </w:r>
    </w:p>
    <w:p w14:paraId="1A0EFE4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（五）不同投标人的投标文件相互混装；</w:t>
      </w:r>
    </w:p>
    <w:p w14:paraId="24CF70EE">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（六）不同投标人的投标保证金从同一单位或者个人的账户转出。</w:t>
      </w:r>
    </w:p>
    <w:p w14:paraId="60B1FE8C">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 </w:t>
      </w:r>
    </w:p>
    <w:p w14:paraId="3986715F">
      <w:pPr>
        <w:pStyle w:val="2"/>
        <w:rPr>
          <w:color w:val="auto"/>
          <w:highlight w:val="none"/>
        </w:rPr>
      </w:pPr>
      <w:bookmarkStart w:id="87" w:name="_Toc1355"/>
      <w:bookmarkStart w:id="88" w:name="_Toc28034"/>
      <w:r>
        <w:rPr>
          <w:rFonts w:hint="eastAsia"/>
          <w:color w:val="auto"/>
          <w:highlight w:val="none"/>
        </w:rPr>
        <w:t>13.投标报价说明</w:t>
      </w:r>
      <w:bookmarkEnd w:id="87"/>
      <w:bookmarkEnd w:id="88"/>
    </w:p>
    <w:p w14:paraId="7F5EA824">
      <w:pPr>
        <w:pStyle w:val="24"/>
        <w:numPr>
          <w:ilvl w:val="0"/>
          <w:numId w:val="3"/>
        </w:numPr>
        <w:spacing w:line="400" w:lineRule="exact"/>
        <w:ind w:firstLineChars="0"/>
        <w:jc w:val="both"/>
        <w:rPr>
          <w:rFonts w:ascii="宋体" w:hAnsi="宋体" w:cs="宋体"/>
          <w:vanish/>
          <w:color w:val="auto"/>
          <w:szCs w:val="21"/>
          <w:highlight w:val="none"/>
        </w:rPr>
      </w:pPr>
    </w:p>
    <w:p w14:paraId="70A6F56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本次招标，投标人应按用户需求中的要求进行投标报价，少报无效。</w:t>
      </w:r>
    </w:p>
    <w:p w14:paraId="453F369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1D5C5AF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投标报价应包含完成本次招标所有服务内容的费用，包含各种税务费及合同实施过程中的全部费用和售后服务费等。</w:t>
      </w:r>
    </w:p>
    <w:p w14:paraId="2B2868C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1744FE84">
      <w:pPr>
        <w:spacing w:line="400" w:lineRule="exact"/>
        <w:rPr>
          <w:rFonts w:ascii="宋体" w:hAnsi="宋体" w:cs="宋体"/>
          <w:color w:val="auto"/>
          <w:szCs w:val="21"/>
          <w:highlight w:val="none"/>
        </w:rPr>
      </w:pPr>
    </w:p>
    <w:p w14:paraId="72642503">
      <w:pPr>
        <w:pStyle w:val="2"/>
        <w:rPr>
          <w:color w:val="auto"/>
          <w:highlight w:val="none"/>
        </w:rPr>
      </w:pPr>
      <w:bookmarkStart w:id="89" w:name="_Toc34"/>
      <w:bookmarkStart w:id="90" w:name="_Toc6729"/>
      <w:r>
        <w:rPr>
          <w:rFonts w:hint="eastAsia"/>
          <w:color w:val="auto"/>
          <w:highlight w:val="none"/>
        </w:rPr>
        <w:t>14.投标人所提供的服务或货物的证明文件</w:t>
      </w:r>
      <w:bookmarkEnd w:id="89"/>
      <w:bookmarkEnd w:id="90"/>
    </w:p>
    <w:p w14:paraId="77B82447">
      <w:pPr>
        <w:pStyle w:val="24"/>
        <w:numPr>
          <w:ilvl w:val="0"/>
          <w:numId w:val="3"/>
        </w:numPr>
        <w:spacing w:line="400" w:lineRule="exact"/>
        <w:ind w:firstLineChars="0"/>
        <w:jc w:val="both"/>
        <w:rPr>
          <w:rFonts w:ascii="宋体" w:hAnsi="宋体" w:cs="宋体"/>
          <w:vanish/>
          <w:color w:val="auto"/>
          <w:szCs w:val="21"/>
          <w:highlight w:val="none"/>
        </w:rPr>
      </w:pPr>
    </w:p>
    <w:p w14:paraId="73C93FB9">
      <w:pPr>
        <w:numPr>
          <w:ilvl w:val="1"/>
          <w:numId w:val="3"/>
        </w:numPr>
        <w:spacing w:line="400" w:lineRule="exact"/>
        <w:jc w:val="both"/>
        <w:rPr>
          <w:rFonts w:ascii="宋体" w:hAnsi="宋体" w:cs="宋体"/>
          <w:color w:val="auto"/>
          <w:szCs w:val="21"/>
          <w:highlight w:val="none"/>
        </w:rPr>
      </w:pPr>
      <w:bookmarkStart w:id="91" w:name="_Hlt107925638"/>
      <w:bookmarkEnd w:id="91"/>
      <w:bookmarkStart w:id="92" w:name="_Hlt107925668"/>
      <w:bookmarkEnd w:id="9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24"/>
        <w:spacing w:line="400" w:lineRule="exact"/>
        <w:ind w:left="425" w:firstLine="0" w:firstLineChars="0"/>
        <w:jc w:val="both"/>
        <w:rPr>
          <w:rFonts w:ascii="宋体" w:hAnsi="宋体" w:cs="宋体"/>
          <w:color w:val="auto"/>
          <w:szCs w:val="21"/>
          <w:highlight w:val="none"/>
        </w:rPr>
      </w:pPr>
    </w:p>
    <w:p w14:paraId="78A6D617">
      <w:pPr>
        <w:pStyle w:val="2"/>
        <w:rPr>
          <w:color w:val="auto"/>
          <w:highlight w:val="none"/>
        </w:rPr>
      </w:pPr>
      <w:bookmarkStart w:id="93" w:name="_Toc29725"/>
      <w:bookmarkStart w:id="94" w:name="_Toc10940"/>
      <w:r>
        <w:rPr>
          <w:rFonts w:hint="eastAsia"/>
          <w:color w:val="auto"/>
          <w:highlight w:val="none"/>
        </w:rPr>
        <w:t>15.★投标有效期</w:t>
      </w:r>
      <w:bookmarkEnd w:id="93"/>
      <w:bookmarkEnd w:id="94"/>
    </w:p>
    <w:p w14:paraId="34766330">
      <w:pPr>
        <w:pStyle w:val="24"/>
        <w:numPr>
          <w:ilvl w:val="0"/>
          <w:numId w:val="3"/>
        </w:numPr>
        <w:spacing w:line="400" w:lineRule="exact"/>
        <w:ind w:firstLineChars="0"/>
        <w:jc w:val="both"/>
        <w:rPr>
          <w:rFonts w:ascii="宋体" w:hAnsi="宋体" w:cs="宋体"/>
          <w:vanish/>
          <w:color w:val="auto"/>
          <w:szCs w:val="21"/>
          <w:highlight w:val="none"/>
        </w:rPr>
      </w:pPr>
    </w:p>
    <w:p w14:paraId="07F74DC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BDEBDDA">
      <w:pPr>
        <w:spacing w:line="400" w:lineRule="exact"/>
        <w:ind w:left="567"/>
        <w:jc w:val="both"/>
        <w:rPr>
          <w:rFonts w:ascii="宋体" w:hAnsi="宋体" w:cs="宋体"/>
          <w:color w:val="auto"/>
          <w:szCs w:val="21"/>
          <w:highlight w:val="none"/>
        </w:rPr>
      </w:pPr>
    </w:p>
    <w:p w14:paraId="7F2A5E5C">
      <w:pPr>
        <w:pStyle w:val="2"/>
        <w:rPr>
          <w:rFonts w:hint="eastAsia" w:eastAsia="宋体"/>
          <w:color w:val="auto"/>
          <w:highlight w:val="none"/>
          <w:lang w:eastAsia="zh-CN"/>
        </w:rPr>
      </w:pPr>
      <w:bookmarkStart w:id="95" w:name="_Toc5483"/>
      <w:bookmarkStart w:id="96" w:name="_Toc15529"/>
      <w:r>
        <w:rPr>
          <w:rFonts w:hint="eastAsia"/>
          <w:color w:val="auto"/>
          <w:highlight w:val="none"/>
        </w:rPr>
        <w:t>16.★投标保证金</w:t>
      </w:r>
      <w:bookmarkEnd w:id="95"/>
      <w:bookmarkEnd w:id="96"/>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p>
    <w:p w14:paraId="509A78A6">
      <w:pPr>
        <w:pStyle w:val="24"/>
        <w:numPr>
          <w:ilvl w:val="0"/>
          <w:numId w:val="3"/>
        </w:numPr>
        <w:spacing w:line="400" w:lineRule="exact"/>
        <w:ind w:firstLineChars="0"/>
        <w:jc w:val="both"/>
        <w:rPr>
          <w:rFonts w:ascii="宋体" w:hAnsi="宋体" w:cs="宋体"/>
          <w:vanish/>
          <w:color w:val="auto"/>
          <w:szCs w:val="21"/>
          <w:highlight w:val="none"/>
        </w:rPr>
      </w:pPr>
      <w:bookmarkStart w:id="97" w:name="_Ref179619405"/>
    </w:p>
    <w:p w14:paraId="44DCA8D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投标人应按投标资料表中规定数额及法律规定的时间按相应包号保证金金额要求一次性提交投标保证金，以多次汇入达到招标文件要求金额的投标保证金无效。</w:t>
      </w:r>
      <w:bookmarkEnd w:id="97"/>
    </w:p>
    <w:p w14:paraId="4010570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投标保证金金额与招标文件要求金额保持一致（详见投标资料表）。</w:t>
      </w:r>
    </w:p>
    <w:p w14:paraId="3BAA7E0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投标保证金有效期与投标有效期保持一致。</w:t>
      </w:r>
    </w:p>
    <w:p w14:paraId="30090EF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采用银行转账、电汇方式提交的,付至招标代理机构指定账户上。 </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详见投标人资料表)</w:t>
      </w:r>
    </w:p>
    <w:p w14:paraId="46587BE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投标担保。是指由担保机构为供应商交纳投标保证金向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采用《采购投标担保函》提交的，应符合下列规定：</w:t>
      </w:r>
    </w:p>
    <w:p w14:paraId="149AAEE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①投标担保函有效期应与投标有效期一致；</w:t>
      </w:r>
    </w:p>
    <w:p w14:paraId="3342B68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②投标担保金额应与本项目的投标保证金一致；</w:t>
      </w:r>
    </w:p>
    <w:p w14:paraId="0DF19A1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保证金不接受现金方式（包括以存现方式）提交，未按要求提交投标保证金的将导致废标。</w:t>
      </w:r>
    </w:p>
    <w:p w14:paraId="24C9085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未中标的投标人的保证金在采购结果公示发出后5个工作日内退还，中标投标人的保证金在采购合同签订后5个工作日内退还。</w:t>
      </w:r>
    </w:p>
    <w:p w14:paraId="2F273CC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为方便退还未中标的投保人的保证金，投标人应制作《投标保证金》随开标文件一并递交。</w:t>
      </w:r>
    </w:p>
    <w:p w14:paraId="432A567C">
      <w:pPr>
        <w:numPr>
          <w:ilvl w:val="1"/>
          <w:numId w:val="3"/>
        </w:numPr>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有下列情形之一的，投标保证金将不予退还：</w:t>
      </w:r>
    </w:p>
    <w:p w14:paraId="434B0A6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①投标人在招标文件中规定的投标有效期内撤销其投标。</w:t>
      </w:r>
    </w:p>
    <w:p w14:paraId="623FA7B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②法律法规规定不予退还投标保证金的其它情形。</w:t>
      </w:r>
    </w:p>
    <w:p w14:paraId="31A8573F">
      <w:pPr>
        <w:pStyle w:val="8"/>
        <w:rPr>
          <w:color w:val="auto"/>
          <w:sz w:val="21"/>
          <w:szCs w:val="21"/>
          <w:highlight w:val="none"/>
        </w:rPr>
      </w:pPr>
    </w:p>
    <w:p w14:paraId="5964032E">
      <w:pPr>
        <w:pStyle w:val="2"/>
        <w:rPr>
          <w:color w:val="auto"/>
          <w:highlight w:val="none"/>
        </w:rPr>
      </w:pPr>
      <w:bookmarkStart w:id="98" w:name="_Toc303084264"/>
      <w:bookmarkStart w:id="99" w:name="_Toc24997"/>
      <w:bookmarkStart w:id="100" w:name="_Toc16286"/>
      <w:bookmarkStart w:id="101" w:name="_Toc382049111"/>
      <w:bookmarkStart w:id="102" w:name="_Toc16724"/>
      <w:r>
        <w:rPr>
          <w:rFonts w:hint="eastAsia"/>
          <w:color w:val="auto"/>
          <w:highlight w:val="none"/>
        </w:rPr>
        <w:t>17.投标文件的装订，签署，密封和标记</w:t>
      </w:r>
      <w:bookmarkEnd w:id="98"/>
      <w:bookmarkEnd w:id="99"/>
      <w:bookmarkEnd w:id="100"/>
      <w:bookmarkEnd w:id="101"/>
      <w:bookmarkEnd w:id="102"/>
    </w:p>
    <w:p w14:paraId="55A519AC">
      <w:pPr>
        <w:pStyle w:val="24"/>
        <w:numPr>
          <w:ilvl w:val="0"/>
          <w:numId w:val="3"/>
        </w:numPr>
        <w:spacing w:line="400" w:lineRule="exact"/>
        <w:ind w:firstLineChars="0"/>
        <w:jc w:val="both"/>
        <w:rPr>
          <w:rFonts w:ascii="宋体" w:hAnsi="宋体" w:cs="宋体"/>
          <w:vanish/>
          <w:color w:val="auto"/>
          <w:szCs w:val="21"/>
          <w:highlight w:val="none"/>
        </w:rPr>
      </w:pPr>
    </w:p>
    <w:p w14:paraId="70BC459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为方便评标委员会对投标文件进行评审，建议投标人对投标文件进行装订，对未经装订的投标文件可能发生的文件缺损，由此产生的后果由投标人承担。</w:t>
      </w:r>
    </w:p>
    <w:p w14:paraId="584A7C2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联合体投标文件的【正本】及【副本】的封面及骑缝均须加盖所有联合体组成成员的公章。（文件每页盖章等同于盖骑缝章）如联合体协议中有明确分工说明除外。</w:t>
      </w:r>
    </w:p>
    <w:p w14:paraId="7A1A41D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634C7F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供应商未提交“开标文件”或“开标文件”中无“开标一览表”的，报价以投标文件正本为准。</w:t>
      </w:r>
    </w:p>
    <w:p w14:paraId="24C5D0C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5BA41B31">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收件人：国顺招标有限公司</w:t>
      </w:r>
    </w:p>
    <w:p w14:paraId="12C9803C">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2F6E145E">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2DED65B1">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采购项目编号：</w:t>
      </w:r>
    </w:p>
    <w:p w14:paraId="2DBDFD7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招标代理机构将拒绝接收出现以下情况的投标文件：</w:t>
      </w:r>
    </w:p>
    <w:p w14:paraId="7A338A09">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采用透明包装进行密封或未进行密封的投标文件；</w:t>
      </w:r>
    </w:p>
    <w:p w14:paraId="3DA0C284">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w:t>
      </w:r>
    </w:p>
    <w:p w14:paraId="689DA0DF">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密封信封上项目编号错误的投标文件；</w:t>
      </w:r>
    </w:p>
    <w:p w14:paraId="365D271A">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未在规定时间内领购文件的投标人的投标文件；</w:t>
      </w:r>
    </w:p>
    <w:p w14:paraId="18742F71">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项目名称出现严重歧义或未标注所投项目信息导致无法分辨所投项目为本项目的投标文件；</w:t>
      </w:r>
    </w:p>
    <w:p w14:paraId="00323A86">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采用传真、电传的投标文件；</w:t>
      </w:r>
    </w:p>
    <w:p w14:paraId="12FFBE3B">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招标文件规定的其他情形。</w:t>
      </w:r>
    </w:p>
    <w:p w14:paraId="739DFD7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招标代理机构对所有投标文件的误投或提前启封概不负责。</w:t>
      </w:r>
    </w:p>
    <w:p w14:paraId="7A2A742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投标人同时参加几个包投标时必须按招标文件要求按包号分别制作投标文件，分别密封递交。</w:t>
      </w:r>
    </w:p>
    <w:p w14:paraId="23B6472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34AB821A">
      <w:pPr>
        <w:spacing w:line="400" w:lineRule="exact"/>
        <w:rPr>
          <w:rFonts w:ascii="宋体" w:hAnsi="宋体" w:cs="宋体"/>
          <w:color w:val="auto"/>
          <w:szCs w:val="21"/>
          <w:highlight w:val="none"/>
        </w:rPr>
      </w:pPr>
    </w:p>
    <w:p w14:paraId="4A173754">
      <w:pPr>
        <w:pStyle w:val="2"/>
        <w:rPr>
          <w:color w:val="auto"/>
          <w:highlight w:val="none"/>
        </w:rPr>
      </w:pPr>
      <w:bookmarkStart w:id="103" w:name="_Toc17636"/>
      <w:bookmarkStart w:id="104" w:name="_Toc30088"/>
      <w:r>
        <w:rPr>
          <w:rFonts w:hint="eastAsia"/>
          <w:color w:val="auto"/>
          <w:highlight w:val="none"/>
        </w:rPr>
        <w:t>18.迟交的投标文件</w:t>
      </w:r>
      <w:bookmarkEnd w:id="103"/>
      <w:bookmarkEnd w:id="104"/>
    </w:p>
    <w:p w14:paraId="5D09E1EE">
      <w:pPr>
        <w:pStyle w:val="24"/>
        <w:numPr>
          <w:ilvl w:val="0"/>
          <w:numId w:val="3"/>
        </w:numPr>
        <w:spacing w:line="400" w:lineRule="exact"/>
        <w:ind w:firstLineChars="0"/>
        <w:jc w:val="both"/>
        <w:rPr>
          <w:rFonts w:ascii="宋体" w:hAnsi="宋体" w:cs="宋体"/>
          <w:vanish/>
          <w:color w:val="auto"/>
          <w:szCs w:val="21"/>
          <w:highlight w:val="none"/>
        </w:rPr>
      </w:pPr>
    </w:p>
    <w:p w14:paraId="17DF5BC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投标人在投标截止时间之后提交的投标文件，招标代理机构将拒绝接收。</w:t>
      </w:r>
    </w:p>
    <w:p w14:paraId="28FBCCB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有违反其他法律规定情形的，招标代理机构将拒绝接收。</w:t>
      </w:r>
    </w:p>
    <w:p w14:paraId="68E2193C">
      <w:pPr>
        <w:spacing w:line="400" w:lineRule="exact"/>
        <w:rPr>
          <w:rFonts w:ascii="宋体" w:hAnsi="宋体" w:cs="宋体"/>
          <w:color w:val="auto"/>
          <w:szCs w:val="21"/>
          <w:highlight w:val="none"/>
        </w:rPr>
      </w:pPr>
    </w:p>
    <w:p w14:paraId="138A99C1">
      <w:pPr>
        <w:pStyle w:val="2"/>
        <w:rPr>
          <w:color w:val="auto"/>
          <w:highlight w:val="none"/>
        </w:rPr>
      </w:pPr>
      <w:bookmarkStart w:id="105" w:name="_Toc24269"/>
      <w:bookmarkStart w:id="106" w:name="_Toc15912"/>
      <w:r>
        <w:rPr>
          <w:rFonts w:hint="eastAsia"/>
          <w:color w:val="auto"/>
          <w:highlight w:val="none"/>
        </w:rPr>
        <w:t>19.投标样品、投标演示（如有要求）</w:t>
      </w:r>
      <w:bookmarkEnd w:id="105"/>
      <w:bookmarkEnd w:id="106"/>
    </w:p>
    <w:p w14:paraId="2EBF32C7">
      <w:pPr>
        <w:pStyle w:val="24"/>
        <w:numPr>
          <w:ilvl w:val="0"/>
          <w:numId w:val="3"/>
        </w:numPr>
        <w:spacing w:line="400" w:lineRule="exact"/>
        <w:ind w:firstLineChars="0"/>
        <w:jc w:val="both"/>
        <w:rPr>
          <w:rFonts w:ascii="宋体" w:hAnsi="宋体" w:cs="宋体"/>
          <w:vanish/>
          <w:color w:val="auto"/>
          <w:szCs w:val="21"/>
          <w:highlight w:val="none"/>
        </w:rPr>
      </w:pPr>
    </w:p>
    <w:p w14:paraId="7733452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如有必要，招标代理机构可以要求投标人提供本服务项目涉及的部分设备或产品样品，投标人在投标时应提交《样品清单》。</w:t>
      </w:r>
    </w:p>
    <w:p w14:paraId="240DDAE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为方便评标，投标人在提供样品时，应在所提供的样品表面显著位置标注投标人的名称、包号、样品名称、招标文件规定的服务或货物编号。</w:t>
      </w:r>
    </w:p>
    <w:p w14:paraId="408F9C7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招标代理机构领取投标样品，逾期不领，招标代理机构将不承担样品的保管责任，由此引发的样品丢失、毁损，招标代理机构不予负责。</w:t>
      </w:r>
    </w:p>
    <w:p w14:paraId="51CF0E4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或采购单位操作完成。</w:t>
      </w:r>
    </w:p>
    <w:p w14:paraId="109FFA7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auto"/>
          <w:szCs w:val="21"/>
          <w:highlight w:val="none"/>
        </w:rPr>
      </w:pPr>
    </w:p>
    <w:p w14:paraId="413F4DA1">
      <w:pPr>
        <w:pStyle w:val="2"/>
        <w:rPr>
          <w:color w:val="auto"/>
          <w:highlight w:val="none"/>
        </w:rPr>
      </w:pPr>
      <w:bookmarkStart w:id="107" w:name="_Toc28098"/>
      <w:bookmarkStart w:id="108" w:name="_Toc303084265"/>
      <w:bookmarkStart w:id="109" w:name="_Toc22355"/>
      <w:bookmarkStart w:id="110" w:name="_Toc382049112"/>
      <w:bookmarkStart w:id="111" w:name="_Toc9777"/>
      <w:r>
        <w:rPr>
          <w:rFonts w:hint="eastAsia"/>
          <w:color w:val="auto"/>
          <w:highlight w:val="none"/>
        </w:rPr>
        <w:t>20.投标截止期</w:t>
      </w:r>
      <w:bookmarkEnd w:id="107"/>
      <w:bookmarkEnd w:id="108"/>
      <w:bookmarkEnd w:id="109"/>
      <w:bookmarkEnd w:id="110"/>
      <w:bookmarkEnd w:id="111"/>
    </w:p>
    <w:p w14:paraId="7A3CF8E8">
      <w:pPr>
        <w:pStyle w:val="24"/>
        <w:numPr>
          <w:ilvl w:val="0"/>
          <w:numId w:val="3"/>
        </w:numPr>
        <w:spacing w:line="400" w:lineRule="exact"/>
        <w:ind w:firstLineChars="0"/>
        <w:jc w:val="both"/>
        <w:rPr>
          <w:rFonts w:ascii="宋体" w:hAnsi="宋体" w:cs="宋体"/>
          <w:vanish/>
          <w:color w:val="auto"/>
          <w:szCs w:val="21"/>
          <w:highlight w:val="none"/>
        </w:rPr>
      </w:pPr>
    </w:p>
    <w:p w14:paraId="1400349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投标人应在招标文件规定的截止日期和时间内，将投标文件送达到指定地点。</w:t>
      </w:r>
    </w:p>
    <w:p w14:paraId="2EC3093C">
      <w:pPr>
        <w:spacing w:line="400" w:lineRule="exact"/>
        <w:rPr>
          <w:rFonts w:ascii="宋体" w:hAnsi="宋体" w:cs="宋体"/>
          <w:color w:val="auto"/>
          <w:szCs w:val="21"/>
          <w:highlight w:val="none"/>
        </w:rPr>
      </w:pPr>
    </w:p>
    <w:p w14:paraId="672347AE">
      <w:pPr>
        <w:pStyle w:val="2"/>
        <w:rPr>
          <w:color w:val="auto"/>
          <w:highlight w:val="none"/>
        </w:rPr>
      </w:pPr>
      <w:bookmarkStart w:id="112" w:name="_Toc22260"/>
      <w:bookmarkStart w:id="113" w:name="_Toc4270"/>
      <w:r>
        <w:rPr>
          <w:rFonts w:hint="eastAsia"/>
          <w:color w:val="auto"/>
          <w:highlight w:val="none"/>
        </w:rPr>
        <w:t>21.投标文件的补充、修改与撤回</w:t>
      </w:r>
      <w:bookmarkEnd w:id="112"/>
      <w:bookmarkEnd w:id="113"/>
    </w:p>
    <w:p w14:paraId="09870F9B">
      <w:pPr>
        <w:pStyle w:val="24"/>
        <w:numPr>
          <w:ilvl w:val="0"/>
          <w:numId w:val="3"/>
        </w:numPr>
        <w:spacing w:line="400" w:lineRule="exact"/>
        <w:ind w:firstLineChars="0"/>
        <w:jc w:val="both"/>
        <w:rPr>
          <w:rFonts w:ascii="宋体" w:hAnsi="宋体" w:cs="宋体"/>
          <w:vanish/>
          <w:color w:val="auto"/>
          <w:szCs w:val="21"/>
          <w:highlight w:val="none"/>
        </w:rPr>
      </w:pPr>
    </w:p>
    <w:p w14:paraId="365990D1">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投标人在提交投标文件截止时间前，可以对所提交的投标文件进行补充、修改或撤回，并以纸质版形式通知招标代理机构。在提交投标文件截止时间之后，投标人不得对其投标文件做出任何的补充和修改。</w:t>
      </w:r>
    </w:p>
    <w:p w14:paraId="192C83D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642EC53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7FCEB9">
      <w:pPr>
        <w:pStyle w:val="8"/>
        <w:spacing w:line="360" w:lineRule="auto"/>
        <w:rPr>
          <w:color w:val="auto"/>
          <w:sz w:val="21"/>
          <w:szCs w:val="21"/>
          <w:highlight w:val="none"/>
        </w:rPr>
      </w:pPr>
    </w:p>
    <w:p w14:paraId="59F52EAC">
      <w:pPr>
        <w:pStyle w:val="5"/>
        <w:overflowPunct w:val="0"/>
        <w:spacing w:before="0" w:after="0" w:line="400" w:lineRule="exact"/>
        <w:rPr>
          <w:rFonts w:ascii="宋体" w:hAnsi="宋体" w:cs="宋体"/>
          <w:color w:val="auto"/>
          <w:sz w:val="21"/>
          <w:szCs w:val="21"/>
          <w:highlight w:val="none"/>
        </w:rPr>
      </w:pPr>
      <w:bookmarkStart w:id="114" w:name="_Toc174"/>
      <w:r>
        <w:rPr>
          <w:rFonts w:hint="eastAsia" w:ascii="宋体" w:hAnsi="宋体" w:cs="宋体"/>
          <w:color w:val="auto"/>
          <w:sz w:val="21"/>
          <w:szCs w:val="21"/>
          <w:highlight w:val="none"/>
        </w:rPr>
        <w:t>22.开标</w:t>
      </w:r>
      <w:bookmarkEnd w:id="114"/>
    </w:p>
    <w:p w14:paraId="69B3E010">
      <w:pPr>
        <w:pStyle w:val="24"/>
        <w:numPr>
          <w:ilvl w:val="0"/>
          <w:numId w:val="3"/>
        </w:numPr>
        <w:spacing w:line="400" w:lineRule="exact"/>
        <w:ind w:firstLineChars="0"/>
        <w:jc w:val="both"/>
        <w:rPr>
          <w:rFonts w:ascii="宋体" w:hAnsi="宋体" w:cs="宋体"/>
          <w:vanish/>
          <w:color w:val="auto"/>
          <w:szCs w:val="21"/>
          <w:highlight w:val="none"/>
        </w:rPr>
      </w:pPr>
    </w:p>
    <w:p w14:paraId="4E4F0BB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招标代理机构按本招标文件所规定的时间和地点公开开标，并邀请所有投标人代表参加。</w:t>
      </w:r>
    </w:p>
    <w:p w14:paraId="014FF9C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开标程序：</w:t>
      </w:r>
    </w:p>
    <w:p w14:paraId="5F465D3E">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开标会由招标代理机构主持，投标人的法定代表人或其授权代表携带有效身份证明准时参加开标会并签名报到。</w:t>
      </w:r>
    </w:p>
    <w:p w14:paraId="4A03581F">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或者招标代理机构工作人员当众拆封，宣布投标人名称、投标价格和招标文件规定的需要宣布的其他内容；</w:t>
      </w:r>
    </w:p>
    <w:p w14:paraId="0993773F">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、招标代理机构相关工作人员有需要回避的情形的，应当场提出询问或者回避申请。开标现场未提出异议的视为认同开标结果。</w:t>
      </w:r>
    </w:p>
    <w:p w14:paraId="282E391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55005E3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18FE4B0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开标过程应当由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或者招标代理机构负责记录，由参加开标的各投标人代表和相关工作人员签字确认。</w:t>
      </w:r>
    </w:p>
    <w:p w14:paraId="17133F36">
      <w:pPr>
        <w:spacing w:line="400" w:lineRule="exact"/>
        <w:ind w:left="567"/>
        <w:jc w:val="both"/>
        <w:rPr>
          <w:rFonts w:ascii="宋体" w:hAnsi="宋体" w:cs="宋体"/>
          <w:color w:val="auto"/>
          <w:szCs w:val="21"/>
          <w:highlight w:val="none"/>
        </w:rPr>
      </w:pPr>
    </w:p>
    <w:p w14:paraId="63F2D45F">
      <w:pPr>
        <w:pStyle w:val="2"/>
        <w:rPr>
          <w:color w:val="auto"/>
          <w:highlight w:val="none"/>
        </w:rPr>
      </w:pPr>
      <w:bookmarkStart w:id="115" w:name="_Toc318"/>
      <w:bookmarkStart w:id="116" w:name="_Toc23244"/>
      <w:r>
        <w:rPr>
          <w:rFonts w:hint="eastAsia"/>
          <w:color w:val="auto"/>
          <w:highlight w:val="none"/>
        </w:rPr>
        <w:t>23.评标委员会及评标方法</w:t>
      </w:r>
      <w:bookmarkEnd w:id="115"/>
      <w:bookmarkEnd w:id="116"/>
    </w:p>
    <w:p w14:paraId="4CE4C9F3">
      <w:pPr>
        <w:pStyle w:val="24"/>
        <w:numPr>
          <w:ilvl w:val="0"/>
          <w:numId w:val="3"/>
        </w:numPr>
        <w:spacing w:line="400" w:lineRule="exact"/>
        <w:ind w:firstLineChars="0"/>
        <w:jc w:val="both"/>
        <w:rPr>
          <w:rFonts w:ascii="宋体" w:hAnsi="宋体" w:cs="宋体"/>
          <w:vanish/>
          <w:color w:val="auto"/>
          <w:szCs w:val="21"/>
          <w:highlight w:val="none"/>
        </w:rPr>
      </w:pPr>
    </w:p>
    <w:p w14:paraId="3EF9914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评标委员会根据招标项目的特点进行组建，并负责评标工作。</w:t>
      </w:r>
    </w:p>
    <w:p w14:paraId="1F4243F1">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评审方法：本次招标的评审方法采用综合评分法。</w:t>
      </w:r>
    </w:p>
    <w:p w14:paraId="22CCD814">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定标原则：在满足招标文件实质性要求前提下，按照招标文件规定的各项评价因素进行量化打分，以评标总得分最高的投标人作为中标候选人或中标人。</w:t>
      </w:r>
    </w:p>
    <w:p w14:paraId="19EF2EA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auto"/>
          <w:szCs w:val="21"/>
          <w:highlight w:val="none"/>
        </w:rPr>
      </w:pPr>
    </w:p>
    <w:p w14:paraId="54FA8856">
      <w:pPr>
        <w:pStyle w:val="2"/>
        <w:rPr>
          <w:color w:val="auto"/>
          <w:highlight w:val="none"/>
        </w:rPr>
      </w:pPr>
      <w:bookmarkStart w:id="117" w:name="_Toc21911"/>
      <w:bookmarkStart w:id="118" w:name="_Toc15635"/>
      <w:r>
        <w:rPr>
          <w:rFonts w:hint="eastAsia"/>
          <w:color w:val="auto"/>
          <w:highlight w:val="none"/>
        </w:rPr>
        <w:t>24.评审原则及评标过程的保密</w:t>
      </w:r>
      <w:bookmarkEnd w:id="117"/>
      <w:bookmarkEnd w:id="118"/>
    </w:p>
    <w:p w14:paraId="49ABBBB8">
      <w:pPr>
        <w:pStyle w:val="24"/>
        <w:numPr>
          <w:ilvl w:val="0"/>
          <w:numId w:val="3"/>
        </w:numPr>
        <w:spacing w:line="400" w:lineRule="exact"/>
        <w:ind w:firstLineChars="0"/>
        <w:jc w:val="both"/>
        <w:rPr>
          <w:rFonts w:ascii="宋体" w:hAnsi="宋体" w:cs="宋体"/>
          <w:vanish/>
          <w:color w:val="auto"/>
          <w:szCs w:val="21"/>
          <w:highlight w:val="none"/>
        </w:rPr>
      </w:pPr>
    </w:p>
    <w:p w14:paraId="00FD554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评审的基本原则：评标委员会将依据国家和地方政府有关法规的规定，遵循“客观、公正、审慎”的原则进行评审工作。</w:t>
      </w:r>
    </w:p>
    <w:p w14:paraId="25F6FA4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207B647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295492BA">
      <w:pPr>
        <w:spacing w:line="400" w:lineRule="exact"/>
        <w:rPr>
          <w:rFonts w:ascii="宋体" w:hAnsi="宋体" w:cs="宋体"/>
          <w:color w:val="auto"/>
          <w:szCs w:val="21"/>
          <w:highlight w:val="none"/>
        </w:rPr>
      </w:pPr>
    </w:p>
    <w:p w14:paraId="1D25D7C9">
      <w:pPr>
        <w:pStyle w:val="2"/>
        <w:rPr>
          <w:color w:val="auto"/>
          <w:highlight w:val="none"/>
        </w:rPr>
      </w:pPr>
      <w:bookmarkStart w:id="119" w:name="_Toc12318"/>
      <w:bookmarkStart w:id="120" w:name="_Toc10950"/>
      <w:r>
        <w:rPr>
          <w:rFonts w:hint="eastAsia"/>
          <w:color w:val="auto"/>
          <w:highlight w:val="none"/>
        </w:rPr>
        <w:t>25.投标文件的初审</w:t>
      </w:r>
      <w:bookmarkEnd w:id="119"/>
      <w:bookmarkEnd w:id="120"/>
    </w:p>
    <w:p w14:paraId="0D7DFBC9">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425A24EE">
      <w:pPr>
        <w:numPr>
          <w:ilvl w:val="1"/>
          <w:numId w:val="3"/>
        </w:numPr>
        <w:tabs>
          <w:tab w:val="left" w:pos="907"/>
        </w:tabs>
        <w:spacing w:line="400" w:lineRule="exact"/>
        <w:jc w:val="both"/>
        <w:rPr>
          <w:rFonts w:ascii="宋体" w:hAnsi="宋体" w:cs="宋体"/>
          <w:b/>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auto"/>
          <w:szCs w:val="21"/>
          <w:highlight w:val="none"/>
        </w:rPr>
        <w:t>资格性检查中发现下列情形之一的，其投标作无效处理：</w:t>
      </w:r>
    </w:p>
    <w:p w14:paraId="54F39F50">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1) 资格瑕疵</w:t>
      </w:r>
    </w:p>
    <w:p w14:paraId="234BC36C">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14:paraId="13EFC5F9">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投标保证金瑕疵</w:t>
      </w:r>
    </w:p>
    <w:p w14:paraId="7D92DF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包括但不限于：①投标人未按招标文件要求提交投标保证金；②提交方式、提交时间、提交金额不符合招标文件要求；③投标保证金有效期不符合招标文件要求。</w:t>
      </w:r>
    </w:p>
    <w:p w14:paraId="00D304DB">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hint="eastAsia" w:ascii="宋体" w:hAnsi="宋体" w:cs="宋体"/>
          <w:b/>
          <w:color w:val="auto"/>
          <w:szCs w:val="21"/>
          <w:highlight w:val="none"/>
        </w:rPr>
        <w:t>发现下列情况之一的，其投标将作无效处理</w:t>
      </w:r>
      <w:r>
        <w:rPr>
          <w:rFonts w:hint="eastAsia" w:ascii="宋体" w:hAnsi="宋体" w:cs="宋体"/>
          <w:color w:val="auto"/>
          <w:szCs w:val="21"/>
          <w:highlight w:val="none"/>
        </w:rPr>
        <w:t>：</w:t>
      </w:r>
    </w:p>
    <w:p w14:paraId="7E5CA53B">
      <w:pPr>
        <w:tabs>
          <w:tab w:val="left" w:pos="907"/>
        </w:tabs>
        <w:spacing w:line="400" w:lineRule="exact"/>
        <w:ind w:left="567"/>
        <w:jc w:val="both"/>
        <w:rPr>
          <w:rFonts w:ascii="宋体" w:hAnsi="宋体" w:cs="宋体"/>
          <w:color w:val="auto"/>
          <w:szCs w:val="21"/>
          <w:highlight w:val="none"/>
        </w:rPr>
      </w:pPr>
      <w:r>
        <w:rPr>
          <w:rFonts w:hint="eastAsia" w:ascii="宋体" w:hAnsi="宋体" w:cs="宋体"/>
          <w:b/>
          <w:color w:val="auto"/>
          <w:szCs w:val="21"/>
          <w:highlight w:val="none"/>
        </w:rPr>
        <w:t>1) 投标文件的有效性、完整性瑕疵</w:t>
      </w:r>
    </w:p>
    <w:p w14:paraId="3479D197">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技术响应瑕疵</w:t>
      </w:r>
    </w:p>
    <w:p w14:paraId="4A7E727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3) 商务响应瑕疵</w:t>
      </w:r>
    </w:p>
    <w:p w14:paraId="4701B3AF">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不能接受的条件的；⑥其他未实质性响应招标文件商务要求的。</w:t>
      </w:r>
    </w:p>
    <w:p w14:paraId="1A18F02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4）投标报价瑕疵</w:t>
      </w:r>
    </w:p>
    <w:p w14:paraId="546CA7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5）违规行为</w:t>
      </w:r>
    </w:p>
    <w:p w14:paraId="0B9362C5">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包括但不限于：①以他人的名义投标、串通投标、以行贿手段谋取中标或者以其他弄虚作假方式投标的；②扰乱开标、评标秩序，干扰招标工作正常进行的。③存在经评标委员会认定的其他违规违法行为。</w:t>
      </w:r>
    </w:p>
    <w:p w14:paraId="74E8F2F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6)法律法规及招标文件中规定的其它情形。</w:t>
      </w:r>
    </w:p>
    <w:p w14:paraId="0A92475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对于投标文件中不构成实质性偏差的不正规、不一致或不规则，评标委员会可以接受，但这种接受不能损害或影响任何投标人的相对排序。</w:t>
      </w:r>
    </w:p>
    <w:p w14:paraId="22826C5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auto"/>
          <w:szCs w:val="21"/>
          <w:highlight w:val="none"/>
        </w:rPr>
      </w:pPr>
    </w:p>
    <w:p w14:paraId="3C990CAB">
      <w:pPr>
        <w:pStyle w:val="2"/>
        <w:rPr>
          <w:color w:val="auto"/>
          <w:highlight w:val="none"/>
        </w:rPr>
      </w:pPr>
      <w:bookmarkStart w:id="121" w:name="_Toc24775"/>
      <w:bookmarkStart w:id="122" w:name="_Toc19657"/>
      <w:r>
        <w:rPr>
          <w:rFonts w:hint="eastAsia"/>
          <w:color w:val="auto"/>
          <w:highlight w:val="none"/>
        </w:rPr>
        <w:t>26.商务、技术、价格评审</w:t>
      </w:r>
      <w:bookmarkEnd w:id="121"/>
      <w:bookmarkEnd w:id="122"/>
    </w:p>
    <w:p w14:paraId="0D138DE1">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6FAB4706">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对通过符合性检查的投标人进行商务技术综合评议，针对投标文件对招标文件的响应情况对各个投标人进行商务和技术评分。 </w:t>
      </w:r>
    </w:p>
    <w:p w14:paraId="0059FD6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投标文件报价出现前后不一致的，评标委员会按照下列规定修正：</w:t>
      </w:r>
    </w:p>
    <w:p w14:paraId="79FB2A34">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2D86862">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0B96CDC6">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1D01CFBF">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F1EE425">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64AAB8C0">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auto"/>
          <w:szCs w:val="21"/>
          <w:highlight w:val="none"/>
        </w:rPr>
      </w:pPr>
    </w:p>
    <w:p w14:paraId="2D489936">
      <w:pPr>
        <w:pStyle w:val="2"/>
        <w:rPr>
          <w:color w:val="auto"/>
          <w:highlight w:val="none"/>
        </w:rPr>
      </w:pPr>
      <w:bookmarkStart w:id="123" w:name="_Toc316375620"/>
      <w:bookmarkStart w:id="124" w:name="_Toc5898"/>
      <w:bookmarkStart w:id="125" w:name="_Toc382049120"/>
      <w:bookmarkStart w:id="126" w:name="_Toc20328"/>
      <w:bookmarkStart w:id="127" w:name="_Toc19304"/>
      <w:r>
        <w:rPr>
          <w:rFonts w:hint="eastAsia"/>
          <w:color w:val="auto"/>
          <w:highlight w:val="none"/>
        </w:rPr>
        <w:t>27.纪律和保密</w:t>
      </w:r>
      <w:bookmarkEnd w:id="123"/>
      <w:r>
        <w:rPr>
          <w:rFonts w:hint="eastAsia"/>
          <w:color w:val="auto"/>
          <w:highlight w:val="none"/>
        </w:rPr>
        <w:t>事项</w:t>
      </w:r>
      <w:bookmarkEnd w:id="124"/>
      <w:bookmarkEnd w:id="125"/>
      <w:bookmarkEnd w:id="126"/>
      <w:bookmarkEnd w:id="127"/>
    </w:p>
    <w:p w14:paraId="42FFA7B6">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4DE0991D">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从开标之日起至授予合同期间，在投标文件的审查、澄清、比较和评价阶段，投标人试图对评标委员会和招标代理机构施加任何影响或对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的比较及授予合同的决定产生影响，都可能导致其投标文件被拒绝。</w:t>
      </w:r>
    </w:p>
    <w:p w14:paraId="767361D3">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投标人不得串通作弊，以不正当的手段妨碍、排挤其他投标人，扰乱招标市场，破坏公平竞争原则。否则将按相关法律规定严肃处理。</w:t>
      </w:r>
    </w:p>
    <w:p w14:paraId="3AAD7B98">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获得本招标文件的投标人，应对文件进行保密，不得用作本次投标以外的任何用途。开标后，投标人应归还招标文件中要求保密的文件和资料。</w:t>
      </w:r>
    </w:p>
    <w:p w14:paraId="6BA124F0">
      <w:pPr>
        <w:rPr>
          <w:color w:val="auto"/>
          <w:highlight w:val="none"/>
        </w:rPr>
      </w:pPr>
    </w:p>
    <w:p w14:paraId="3AB7A8F4">
      <w:pPr>
        <w:pStyle w:val="2"/>
        <w:rPr>
          <w:color w:val="auto"/>
          <w:highlight w:val="none"/>
        </w:rPr>
      </w:pPr>
      <w:bookmarkStart w:id="128" w:name="_Toc508284011"/>
      <w:bookmarkStart w:id="129" w:name="_Toc1994"/>
      <w:bookmarkStart w:id="130" w:name="_Toc4954"/>
      <w:r>
        <w:rPr>
          <w:rFonts w:hint="eastAsia"/>
          <w:color w:val="auto"/>
          <w:highlight w:val="none"/>
        </w:rPr>
        <w:t>28.合同授予标准</w:t>
      </w:r>
      <w:bookmarkEnd w:id="128"/>
      <w:bookmarkEnd w:id="129"/>
      <w:bookmarkEnd w:id="130"/>
    </w:p>
    <w:p w14:paraId="3CAABC60">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46F79D70">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根据评标委员会的评审结果，</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按照评审报告推荐的中标候选人中按顺序依法确定中标人。</w:t>
      </w:r>
    </w:p>
    <w:p w14:paraId="74A68A8F">
      <w:pPr>
        <w:spacing w:line="400" w:lineRule="exact"/>
        <w:rPr>
          <w:rFonts w:ascii="宋体" w:hAnsi="宋体" w:cs="宋体"/>
          <w:color w:val="auto"/>
          <w:szCs w:val="21"/>
          <w:highlight w:val="none"/>
        </w:rPr>
      </w:pPr>
    </w:p>
    <w:p w14:paraId="4898BD38">
      <w:pPr>
        <w:pStyle w:val="2"/>
        <w:rPr>
          <w:color w:val="auto"/>
          <w:highlight w:val="none"/>
        </w:rPr>
      </w:pPr>
      <w:bookmarkStart w:id="131" w:name="_Toc22043"/>
      <w:bookmarkStart w:id="132" w:name="_Toc14141"/>
      <w:bookmarkStart w:id="133" w:name="_Toc508284013"/>
      <w:r>
        <w:rPr>
          <w:rFonts w:hint="eastAsia"/>
          <w:color w:val="auto"/>
          <w:highlight w:val="none"/>
        </w:rPr>
        <w:t>30.发布采购结果</w:t>
      </w:r>
      <w:bookmarkEnd w:id="131"/>
      <w:bookmarkEnd w:id="132"/>
      <w:bookmarkEnd w:id="133"/>
    </w:p>
    <w:p w14:paraId="6181283B">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63DF5D7E">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确认后，招标代理机构将在指定的信息发布媒体上发布公告。</w:t>
      </w:r>
    </w:p>
    <w:p w14:paraId="4559DB3A">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中标公告期限为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p w14:paraId="1A7BF2BD">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结果公示发布后，中标单位应及时领取中标通知书。《中标通知书》是合同的一个组成部分，《中标通知书》对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和中标人均具有同等法律效力。</w:t>
      </w:r>
    </w:p>
    <w:p w14:paraId="081C01EF">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中标人无正当理由不得放弃中标，因中标人放弃中标而对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造成的损失由放弃中标的中标人承担。</w:t>
      </w:r>
    </w:p>
    <w:p w14:paraId="53443D1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原件核查</w:t>
      </w:r>
    </w:p>
    <w:p w14:paraId="3EF90090">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有权对中标单位进行原件核查，中标单位应在五个工作日内把相关原件递交至招标代理机构办公地址或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55B87D5B">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中标单位有下列情形之一的，取消中标资格：</w:t>
      </w:r>
    </w:p>
    <w:p w14:paraId="21071366">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拒绝</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或招标代理机构原件核查要求的；</w:t>
      </w:r>
    </w:p>
    <w:p w14:paraId="453B4FDB">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未在规定时间内将原件递交到到招标代理机构办公地址或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指定地址进行核查的；</w:t>
      </w:r>
    </w:p>
    <w:p w14:paraId="6C78EE27">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在规定时间内递交的原件数量、内容与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、招标代理机构要求不一致的；</w:t>
      </w:r>
    </w:p>
    <w:p w14:paraId="5CD8A716">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因原件续期、更改等原因不能按时递交原件且未能在规定时间内提供相应部门开具的变更、续期等证明的；</w:t>
      </w:r>
    </w:p>
    <w:p w14:paraId="74293909">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经查原件，投标文件内容有造假行为的。</w:t>
      </w:r>
    </w:p>
    <w:p w14:paraId="399C4192">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有权对递交了投标文件的未中标投标人进行原件核查。投标人应在招标代理机构或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发出纸质通知五个工作日内将原件递交到招标代理机构办公地址或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6516DA1C">
      <w:pPr>
        <w:numPr>
          <w:ilvl w:val="2"/>
          <w:numId w:val="3"/>
        </w:numPr>
        <w:tabs>
          <w:tab w:val="clear" w:pos="794"/>
        </w:tabs>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若投标人出现虚假应标情况，投标文件作无效处理，其投标、中标无效。并根据相关法律上报相关监管部门。</w:t>
      </w:r>
    </w:p>
    <w:p w14:paraId="5FC1EBCF">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属于建办市函[2016]462号通知内的证件可不提供原件，仅提供带二维码原件的复印件即可。</w:t>
      </w:r>
    </w:p>
    <w:p w14:paraId="5D0DE17B">
      <w:pPr>
        <w:spacing w:line="400" w:lineRule="exact"/>
        <w:rPr>
          <w:rFonts w:ascii="宋体" w:hAnsi="宋体" w:cs="宋体"/>
          <w:color w:val="auto"/>
          <w:szCs w:val="21"/>
          <w:highlight w:val="none"/>
        </w:rPr>
      </w:pPr>
    </w:p>
    <w:p w14:paraId="78C0FDDC">
      <w:pPr>
        <w:pStyle w:val="2"/>
        <w:rPr>
          <w:color w:val="auto"/>
          <w:highlight w:val="none"/>
        </w:rPr>
      </w:pPr>
      <w:bookmarkStart w:id="134" w:name="_Toc11977"/>
      <w:bookmarkStart w:id="135" w:name="_Toc8411"/>
      <w:r>
        <w:rPr>
          <w:rFonts w:hint="eastAsia"/>
          <w:color w:val="auto"/>
          <w:highlight w:val="none"/>
        </w:rPr>
        <w:t>30.合同的签订与履行</w:t>
      </w:r>
      <w:bookmarkEnd w:id="134"/>
      <w:bookmarkEnd w:id="135"/>
    </w:p>
    <w:p w14:paraId="28A48184">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600DDB8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与中标人应当根据合同的约定依法履行合同义务。</w:t>
      </w:r>
    </w:p>
    <w:p w14:paraId="0C88104C">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0AD0734E">
      <w:pPr>
        <w:numPr>
          <w:ilvl w:val="1"/>
          <w:numId w:val="3"/>
        </w:numPr>
        <w:tabs>
          <w:tab w:val="left" w:pos="907"/>
        </w:tabs>
        <w:spacing w:line="400" w:lineRule="exact"/>
        <w:jc w:val="both"/>
        <w:rPr>
          <w:rFonts w:ascii="宋体" w:hAnsi="宋体" w:cs="宋体"/>
          <w:b/>
          <w:color w:val="auto"/>
          <w:szCs w:val="21"/>
          <w:highlight w:val="none"/>
        </w:rPr>
      </w:pPr>
      <w:r>
        <w:rPr>
          <w:rFonts w:hint="eastAsia" w:ascii="宋体" w:hAnsi="宋体" w:cs="宋体"/>
          <w:b/>
          <w:color w:val="auto"/>
          <w:szCs w:val="21"/>
          <w:highlight w:val="none"/>
        </w:rPr>
        <w:t>合同签订之日起2个工作日内，中标人应将所签订的合同副本（加盖公章）交至国顺招标有限公司归档。</w:t>
      </w:r>
    </w:p>
    <w:p w14:paraId="1898D70D">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中标投标人在评审结束当天至合同履行结束，若因不可抗力的因素（如国家出台新法律法规等）造成投标人资质的变动，投标人应以纸质版形式通知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。若资质变动导致中标投标人不再具备履行合同资质要求，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有权中止合同。</w:t>
      </w:r>
    </w:p>
    <w:p w14:paraId="5B0A0285">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中标人拒绝与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可以按照评审报告推荐的中标候选人名单排序，确定下一候选人为中标人，也可以重新开展采购活动。</w:t>
      </w:r>
    </w:p>
    <w:p w14:paraId="0B488137">
      <w:pPr>
        <w:pStyle w:val="8"/>
        <w:rPr>
          <w:color w:val="auto"/>
          <w:sz w:val="21"/>
          <w:szCs w:val="21"/>
          <w:highlight w:val="none"/>
        </w:rPr>
      </w:pPr>
    </w:p>
    <w:p w14:paraId="1C714BDA">
      <w:pPr>
        <w:pStyle w:val="2"/>
        <w:rPr>
          <w:color w:val="auto"/>
          <w:highlight w:val="none"/>
        </w:rPr>
      </w:pPr>
      <w:bookmarkStart w:id="136" w:name="_Toc23400"/>
      <w:bookmarkStart w:id="137" w:name="_Toc19434"/>
      <w:r>
        <w:rPr>
          <w:rFonts w:hint="eastAsia"/>
          <w:color w:val="auto"/>
          <w:highlight w:val="none"/>
        </w:rPr>
        <w:t>31.招标文件的解释权</w:t>
      </w:r>
      <w:bookmarkEnd w:id="136"/>
      <w:bookmarkEnd w:id="137"/>
    </w:p>
    <w:p w14:paraId="7BAD9120">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3E60A12C">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本招标文件是参照国家有关法律、法规以及政府采购管理有关规定和参照国际惯例编制，解释权属本国顺招标有限公司。</w:t>
      </w:r>
    </w:p>
    <w:p w14:paraId="2A45A24F">
      <w:pPr>
        <w:rPr>
          <w:rFonts w:ascii="宋体" w:hAnsi="宋体" w:cs="宋体"/>
          <w:color w:val="auto"/>
          <w:szCs w:val="21"/>
          <w:highlight w:val="none"/>
        </w:rPr>
      </w:pPr>
      <w:r>
        <w:rPr>
          <w:rFonts w:hint="eastAsia" w:ascii="宋体" w:hAnsi="宋体" w:cs="宋体"/>
          <w:color w:val="auto"/>
          <w:szCs w:val="21"/>
          <w:highlight w:val="none"/>
        </w:rPr>
        <w:br w:type="page"/>
      </w:r>
    </w:p>
    <w:p w14:paraId="64E31647">
      <w:pPr>
        <w:pStyle w:val="3"/>
        <w:numPr>
          <w:ilvl w:val="0"/>
          <w:numId w:val="1"/>
        </w:numPr>
        <w:rPr>
          <w:color w:val="auto"/>
          <w:highlight w:val="none"/>
        </w:rPr>
      </w:pPr>
      <w:bookmarkStart w:id="138" w:name="_Toc27892"/>
      <w:r>
        <w:rPr>
          <w:rFonts w:hint="eastAsia"/>
          <w:color w:val="auto"/>
          <w:highlight w:val="none"/>
        </w:rPr>
        <w:t>用户需求书</w:t>
      </w:r>
      <w:bookmarkEnd w:id="138"/>
    </w:p>
    <w:p w14:paraId="6710163C">
      <w:pPr>
        <w:jc w:val="center"/>
        <w:outlineLvl w:val="1"/>
        <w:rPr>
          <w:b/>
          <w:bCs/>
          <w:color w:val="auto"/>
          <w:sz w:val="28"/>
          <w:szCs w:val="36"/>
          <w:highlight w:val="none"/>
        </w:rPr>
      </w:pPr>
      <w:bookmarkStart w:id="139" w:name="_Toc16006"/>
      <w:r>
        <w:rPr>
          <w:rFonts w:hint="eastAsia"/>
          <w:b/>
          <w:bCs/>
          <w:color w:val="auto"/>
          <w:sz w:val="28"/>
          <w:szCs w:val="36"/>
          <w:highlight w:val="none"/>
        </w:rPr>
        <w:t>商务要求</w:t>
      </w:r>
      <w:bookmarkEnd w:id="139"/>
      <w:r>
        <w:rPr>
          <w:rFonts w:hint="eastAsia" w:ascii="宋体" w:hAnsi="宋体" w:eastAsia="宋体"/>
          <w:b/>
          <w:color w:val="auto"/>
          <w:sz w:val="28"/>
          <w:szCs w:val="24"/>
          <w:highlight w:val="none"/>
          <w:lang w:eastAsia="zh-CN"/>
        </w:rPr>
        <w:t>（适用于所有包组）</w:t>
      </w:r>
    </w:p>
    <w:tbl>
      <w:tblPr>
        <w:tblStyle w:val="17"/>
        <w:tblW w:w="513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355"/>
        <w:gridCol w:w="6754"/>
      </w:tblGrid>
      <w:tr w14:paraId="3CB54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66" w:type="pct"/>
            <w:vAlign w:val="center"/>
          </w:tcPr>
          <w:p w14:paraId="3EB15BA3">
            <w:pPr>
              <w:adjustRightInd/>
              <w:snapToGrid/>
              <w:spacing w:after="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774" w:type="pct"/>
            <w:vAlign w:val="center"/>
          </w:tcPr>
          <w:p w14:paraId="0F462339">
            <w:pPr>
              <w:adjustRightInd/>
              <w:snapToGrid/>
              <w:spacing w:after="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条款名称</w:t>
            </w:r>
          </w:p>
        </w:tc>
        <w:tc>
          <w:tcPr>
            <w:tcW w:w="3858" w:type="pct"/>
            <w:vAlign w:val="center"/>
          </w:tcPr>
          <w:p w14:paraId="3B4F4FB0">
            <w:pPr>
              <w:adjustRightInd/>
              <w:snapToGrid/>
              <w:spacing w:after="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说  明</w:t>
            </w:r>
          </w:p>
        </w:tc>
      </w:tr>
      <w:tr w14:paraId="5DD9D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4A388EFA">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774" w:type="pct"/>
            <w:vAlign w:val="center"/>
          </w:tcPr>
          <w:p w14:paraId="62CC5BC8">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服务期</w:t>
            </w:r>
          </w:p>
        </w:tc>
        <w:tc>
          <w:tcPr>
            <w:tcW w:w="3858" w:type="pct"/>
            <w:vAlign w:val="center"/>
          </w:tcPr>
          <w:p w14:paraId="4E34276B">
            <w:pPr>
              <w:spacing w:after="0"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自合同签定之日起三年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合同签订采用一年一签的形式签订）</w:t>
            </w:r>
          </w:p>
        </w:tc>
      </w:tr>
      <w:tr w14:paraId="066E4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238EF82D">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774" w:type="pct"/>
            <w:vAlign w:val="center"/>
          </w:tcPr>
          <w:p w14:paraId="18EB50E2">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付款方式</w:t>
            </w:r>
          </w:p>
        </w:tc>
        <w:tc>
          <w:tcPr>
            <w:tcW w:w="3858" w:type="pct"/>
            <w:vAlign w:val="center"/>
          </w:tcPr>
          <w:p w14:paraId="78A1FD0B">
            <w:pPr>
              <w:spacing w:after="0" w:line="360" w:lineRule="auto"/>
              <w:ind w:firstLine="420" w:firstLineChars="200"/>
              <w:rPr>
                <w:rFonts w:ascii="宋体" w:hAnsi="宋体" w:eastAsia="宋体"/>
                <w:color w:val="auto"/>
                <w:szCs w:val="21"/>
                <w:highlight w:val="none"/>
              </w:rPr>
            </w:pPr>
            <w:r>
              <w:rPr>
                <w:rFonts w:hint="eastAsia" w:ascii="宋体" w:hAnsi="宋体" w:eastAsia="宋体" w:cs="宋体"/>
                <w:color w:val="auto"/>
                <w:sz w:val="21"/>
                <w:szCs w:val="21"/>
                <w:highlight w:val="none"/>
                <w:lang w:eastAsia="zh-CN"/>
              </w:rPr>
              <w:t>按采购人要求按月配送，按实支付，本合同的每笔款项均以银行电汇方式支付，具体付款要求如下：双方采取先送货后结款的方式，从第一次送货之日起，采购人每月向中标人清货款一次。双方应在每月10日前核对上期货款，再由中标人根据双方核对无误确认好的金额开具发票给采购人请款，采购人应在收到中标人发票后的30个工作日内支付上月的货款，采购人以银行转账方式将货款一次性转入中标人书面指定的银行账户。</w:t>
            </w:r>
          </w:p>
        </w:tc>
      </w:tr>
      <w:tr w14:paraId="0C4D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31A6FE93">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774" w:type="pct"/>
            <w:vAlign w:val="center"/>
          </w:tcPr>
          <w:p w14:paraId="03AA053F">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服务地点</w:t>
            </w:r>
          </w:p>
        </w:tc>
        <w:tc>
          <w:tcPr>
            <w:tcW w:w="3858" w:type="pct"/>
            <w:vAlign w:val="center"/>
          </w:tcPr>
          <w:p w14:paraId="3B29C36E">
            <w:pPr>
              <w:spacing w:after="0" w:line="360" w:lineRule="auto"/>
              <w:ind w:firstLine="420" w:firstLineChars="200"/>
              <w:rPr>
                <w:rFonts w:ascii="宋体" w:hAnsi="宋体" w:eastAsia="宋体"/>
                <w:color w:val="auto"/>
                <w:szCs w:val="21"/>
                <w:highlight w:val="none"/>
              </w:rPr>
            </w:pPr>
            <w:r>
              <w:rPr>
                <w:rFonts w:hint="eastAsia" w:ascii="宋体" w:hAnsi="宋体" w:eastAsia="宋体" w:cs="宋体"/>
                <w:color w:val="auto"/>
                <w:sz w:val="21"/>
                <w:szCs w:val="21"/>
                <w:highlight w:val="none"/>
              </w:rPr>
              <w:t>采购人指定地点。</w:t>
            </w:r>
          </w:p>
        </w:tc>
      </w:tr>
      <w:tr w14:paraId="66090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60A2DAA7">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774" w:type="pct"/>
            <w:vAlign w:val="center"/>
          </w:tcPr>
          <w:p w14:paraId="7849A54B">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报价要求</w:t>
            </w:r>
          </w:p>
        </w:tc>
        <w:tc>
          <w:tcPr>
            <w:tcW w:w="3858" w:type="pct"/>
            <w:vAlign w:val="center"/>
          </w:tcPr>
          <w:p w14:paraId="6341A3ED">
            <w:pPr>
              <w:widowControl w:val="0"/>
              <w:tabs>
                <w:tab w:val="left" w:pos="709"/>
              </w:tabs>
              <w:adjustRightInd/>
              <w:snapToGrid/>
              <w:spacing w:after="0"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本项目报价采用</w:t>
            </w:r>
            <w:r>
              <w:rPr>
                <w:rFonts w:hint="eastAsia" w:ascii="宋体" w:hAnsi="宋体" w:cs="宋体"/>
                <w:color w:val="auto"/>
                <w:sz w:val="21"/>
                <w:szCs w:val="21"/>
                <w:highlight w:val="none"/>
                <w:lang w:val="en-US" w:eastAsia="zh-CN"/>
              </w:rPr>
              <w:t>下浮率</w:t>
            </w:r>
            <w:r>
              <w:rPr>
                <w:rFonts w:hint="eastAsia" w:ascii="宋体" w:hAnsi="宋体" w:eastAsia="宋体" w:cs="宋体"/>
                <w:color w:val="auto"/>
                <w:sz w:val="21"/>
                <w:szCs w:val="21"/>
                <w:highlight w:val="none"/>
              </w:rPr>
              <w:t>报价方式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投标人下浮率报价</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lang w:val="en-US" w:eastAsia="zh-CN"/>
              </w:rPr>
              <w:t>12.00%</w:t>
            </w:r>
            <w:r>
              <w:rPr>
                <w:rFonts w:hint="eastAsia" w:ascii="宋体" w:hAnsi="宋体" w:eastAsia="宋体" w:cs="宋体"/>
                <w:bCs/>
                <w:color w:val="auto"/>
                <w:sz w:val="21"/>
                <w:szCs w:val="21"/>
                <w:highlight w:val="none"/>
              </w:rPr>
              <w:t>，且所报的</w:t>
            </w:r>
            <w:r>
              <w:rPr>
                <w:rFonts w:hint="eastAsia" w:ascii="宋体" w:hAnsi="宋体" w:cs="宋体"/>
                <w:bCs/>
                <w:color w:val="auto"/>
                <w:sz w:val="21"/>
                <w:szCs w:val="21"/>
                <w:highlight w:val="none"/>
                <w:lang w:val="en-US" w:eastAsia="zh-CN"/>
              </w:rPr>
              <w:t>下浮率</w:t>
            </w:r>
            <w:r>
              <w:rPr>
                <w:rFonts w:hint="eastAsia" w:ascii="宋体" w:hAnsi="宋体" w:eastAsia="宋体" w:cs="宋体"/>
                <w:bCs/>
                <w:color w:val="auto"/>
                <w:sz w:val="21"/>
                <w:szCs w:val="21"/>
                <w:highlight w:val="none"/>
              </w:rPr>
              <w:t>应当适用于所有产品单品</w:t>
            </w:r>
            <w:r>
              <w:rPr>
                <w:rFonts w:hint="eastAsia" w:ascii="宋体" w:hAnsi="宋体" w:eastAsia="宋体" w:cs="宋体"/>
                <w:color w:val="auto"/>
                <w:sz w:val="21"/>
                <w:szCs w:val="21"/>
                <w:highlight w:val="none"/>
              </w:rPr>
              <w:t>。报价应包含完成本次招标所有服务内容的费用，包括人工费、食材采购费、食材运输费、材料费、设备使用费、</w:t>
            </w:r>
            <w:r>
              <w:rPr>
                <w:rFonts w:hint="eastAsia" w:ascii="宋体" w:hAnsi="宋体" w:eastAsia="宋体" w:cs="宋体"/>
                <w:color w:val="auto"/>
                <w:sz w:val="21"/>
                <w:szCs w:val="21"/>
                <w:highlight w:val="none"/>
                <w:lang w:val="en-US" w:eastAsia="zh-CN"/>
              </w:rPr>
              <w:t>保险费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各种税务费、必须的辅助材料费及合同实施过程中不可预见费用等全部费用，采购人不向中标人另行支付任何费用。</w:t>
            </w:r>
          </w:p>
          <w:p w14:paraId="17DAA245">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2.中标人供货价需按照当前时段东莞市发展和改革局公布同期“广东省菜篮子价格监测表”中最新一期的“东莞市菜篮子价格监测表”的价格为基准价进行</w:t>
            </w:r>
            <w:r>
              <w:rPr>
                <w:rFonts w:hint="eastAsia" w:ascii="宋体" w:hAnsi="宋体" w:cs="宋体"/>
                <w:bCs/>
                <w:color w:val="auto"/>
                <w:sz w:val="21"/>
                <w:szCs w:val="21"/>
                <w:highlight w:val="none"/>
                <w:lang w:val="en-US" w:eastAsia="zh-CN"/>
              </w:rPr>
              <w:t>下浮</w:t>
            </w:r>
            <w:r>
              <w:rPr>
                <w:rFonts w:hint="eastAsia" w:ascii="宋体" w:hAnsi="宋体" w:eastAsia="宋体" w:cs="宋体"/>
                <w:bCs/>
                <w:color w:val="auto"/>
                <w:sz w:val="21"/>
                <w:szCs w:val="21"/>
                <w:highlight w:val="none"/>
              </w:rPr>
              <w:t>，中标人须于《东莞市发展和改革局》网站最新价格挂出后第二天向采购人提供最新一期的价格表</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当周基准价格一经确定，双方须严格执行，不受市场物价波动影响，不得调价。中标人原则上每隔一个周调整一次价格</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每次调整价格经采购人确认后方可开始执行。</w:t>
            </w:r>
          </w:p>
          <w:p w14:paraId="7F2D792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3.若东莞市发展和改革局网站上无发布的产品（部分特定牌子的产品除外）则由采购人在</w:t>
            </w:r>
            <w:r>
              <w:rPr>
                <w:rFonts w:hint="eastAsia" w:ascii="宋体" w:hAnsi="宋体" w:cs="宋体"/>
                <w:bCs/>
                <w:color w:val="auto"/>
                <w:sz w:val="21"/>
                <w:szCs w:val="21"/>
                <w:highlight w:val="none"/>
                <w:lang w:val="en-US" w:eastAsia="zh-CN"/>
              </w:rPr>
              <w:t>主山</w:t>
            </w:r>
            <w:r>
              <w:rPr>
                <w:rFonts w:hint="eastAsia" w:ascii="宋体" w:hAnsi="宋体" w:eastAsia="宋体" w:cs="宋体"/>
                <w:bCs/>
                <w:color w:val="auto"/>
                <w:sz w:val="21"/>
                <w:szCs w:val="21"/>
                <w:highlight w:val="none"/>
              </w:rPr>
              <w:t>综合市场、</w:t>
            </w:r>
            <w:r>
              <w:rPr>
                <w:rFonts w:hint="eastAsia" w:ascii="宋体" w:hAnsi="宋体" w:cs="宋体"/>
                <w:bCs/>
                <w:color w:val="auto"/>
                <w:sz w:val="21"/>
                <w:szCs w:val="21"/>
                <w:highlight w:val="none"/>
                <w:lang w:val="en-US" w:eastAsia="zh-CN"/>
              </w:rPr>
              <w:t>罗沙综合</w:t>
            </w:r>
            <w:r>
              <w:rPr>
                <w:rFonts w:hint="eastAsia" w:ascii="宋体" w:hAnsi="宋体" w:eastAsia="宋体" w:cs="宋体"/>
                <w:bCs/>
                <w:color w:val="auto"/>
                <w:sz w:val="21"/>
                <w:szCs w:val="21"/>
                <w:highlight w:val="none"/>
              </w:rPr>
              <w:t>市场、细村综合市场等参考同类产品价格的平均价作为基准价进行</w:t>
            </w:r>
            <w:r>
              <w:rPr>
                <w:rFonts w:hint="eastAsia" w:ascii="宋体" w:hAnsi="宋体" w:cs="宋体"/>
                <w:bCs/>
                <w:color w:val="auto"/>
                <w:sz w:val="21"/>
                <w:szCs w:val="21"/>
                <w:highlight w:val="none"/>
                <w:lang w:eastAsia="zh-CN"/>
              </w:rPr>
              <w:t>折扣</w:t>
            </w:r>
            <w:r>
              <w:rPr>
                <w:rFonts w:hint="eastAsia" w:ascii="宋体" w:hAnsi="宋体" w:eastAsia="宋体" w:cs="宋体"/>
                <w:bCs/>
                <w:color w:val="auto"/>
                <w:sz w:val="21"/>
                <w:szCs w:val="21"/>
                <w:highlight w:val="none"/>
              </w:rPr>
              <w:t>（即基准价=市场平均价=N个市场抽样价格之和÷N），供货价即为基准价×【1-中标下浮率】。</w:t>
            </w:r>
          </w:p>
          <w:p w14:paraId="69079D87">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4.所供食材价格包含一切费用，主要包括购货或自产养（种）植成本、包装费、运输费、装卸费、搬运费、储存费、人工费、检验检疫费、质量检测费、</w:t>
            </w:r>
            <w:r>
              <w:rPr>
                <w:rFonts w:hint="eastAsia" w:ascii="宋体" w:hAnsi="宋体" w:cs="宋体"/>
                <w:color w:val="auto"/>
                <w:sz w:val="21"/>
                <w:szCs w:val="21"/>
                <w:highlight w:val="none"/>
                <w:lang w:val="en-US" w:eastAsia="zh-CN"/>
              </w:rPr>
              <w:t>保险费</w:t>
            </w:r>
            <w:r>
              <w:rPr>
                <w:rFonts w:hint="eastAsia" w:ascii="宋体" w:hAnsi="宋体" w:cs="宋体"/>
                <w:color w:val="auto"/>
                <w:sz w:val="21"/>
                <w:szCs w:val="21"/>
                <w:highlight w:val="none"/>
                <w:lang w:eastAsia="zh-CN"/>
              </w:rPr>
              <w:t>、</w:t>
            </w:r>
            <w:r>
              <w:rPr>
                <w:rFonts w:hint="eastAsia" w:ascii="宋体" w:hAnsi="宋体" w:eastAsia="宋体" w:cs="宋体"/>
                <w:bCs/>
                <w:color w:val="auto"/>
                <w:sz w:val="21"/>
                <w:szCs w:val="21"/>
                <w:highlight w:val="none"/>
              </w:rPr>
              <w:t>各种税费及合同实施过程中的应预见和不可预见费用等。在项目的实施过程中，中标人必须充分考虑在本项目实施期间的一切可能产生的风险和相关费用，采购人无需支付合同约定货款之外的任何费用和补偿。</w:t>
            </w:r>
          </w:p>
          <w:p w14:paraId="3A06BE20">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如生产商或批发商统一调整价格或新增食材，中标人须及时书面通知采购人并附相关资料。价格下调时，应给予采购人相同的价格下调幅度；价格上升时，须提供生产商或批发商调价通知书等书面证明材料原件，经采购人审核后执行新的价格。</w:t>
            </w:r>
          </w:p>
          <w:p w14:paraId="0E964187">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6.采购人有权随时抽查中标人的供货食材入货台账或进行市场调查，发现中标人有虚报或隐瞒供货食材市场价存在欺骗行为，采购人有权取消其中标资格，终止合同。</w:t>
            </w:r>
          </w:p>
          <w:p w14:paraId="1D271619">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7.采购人临时需求货品不在核定的供货价格清单内的，中标人必须按采购人要求供货，供货价格由双方临时确定。下次该货品应纳入报价清单，并按上述定价原则确定供货价格。</w:t>
            </w:r>
          </w:p>
          <w:p w14:paraId="72C8F56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8.若遇台风、暴雨等意外原因造成的个别品种价格需临时调整，应通知采购人，并征得采购人同意后方可调整，每次送货按通知价格计算。</w:t>
            </w:r>
          </w:p>
          <w:p w14:paraId="4B29E73E">
            <w:pPr>
              <w:widowControl/>
              <w:adjustRightInd/>
              <w:snapToGrid/>
              <w:spacing w:after="0" w:line="360" w:lineRule="auto"/>
              <w:ind w:firstLine="420" w:firstLineChars="200"/>
              <w:jc w:val="left"/>
              <w:rPr>
                <w:rFonts w:ascii="宋体" w:hAnsi="宋体" w:eastAsia="宋体"/>
                <w:color w:val="auto"/>
                <w:szCs w:val="21"/>
                <w:highlight w:val="none"/>
              </w:rPr>
            </w:pPr>
            <w:r>
              <w:rPr>
                <w:rFonts w:hint="eastAsia" w:ascii="宋体" w:hAnsi="宋体" w:eastAsia="宋体" w:cs="宋体"/>
                <w:bCs/>
                <w:color w:val="auto"/>
                <w:sz w:val="21"/>
                <w:szCs w:val="21"/>
                <w:highlight w:val="none"/>
              </w:rPr>
              <w:t>9.定价周期：每周更新一次，中标人每次至少提前2天提交下次报价清单给采购人审核，双方签字后生效。</w:t>
            </w:r>
          </w:p>
        </w:tc>
      </w:tr>
      <w:tr w14:paraId="79146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4B9C3DD6">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774" w:type="pct"/>
            <w:vAlign w:val="center"/>
          </w:tcPr>
          <w:p w14:paraId="12F3AEA4">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食品安全保险要求</w:t>
            </w:r>
          </w:p>
        </w:tc>
        <w:tc>
          <w:tcPr>
            <w:tcW w:w="3858" w:type="pct"/>
            <w:vAlign w:val="center"/>
          </w:tcPr>
          <w:p w14:paraId="426079A1">
            <w:pPr>
              <w:widowControl w:val="0"/>
              <w:tabs>
                <w:tab w:val="left" w:pos="709"/>
              </w:tabs>
              <w:adjustRightInd/>
              <w:snapToGrid/>
              <w:spacing w:after="0" w:line="360" w:lineRule="auto"/>
              <w:ind w:firstLine="420" w:firstLineChars="200"/>
              <w:jc w:val="both"/>
              <w:rPr>
                <w:rFonts w:ascii="宋体" w:hAnsi="宋体" w:eastAsia="宋体"/>
                <w:color w:val="auto"/>
                <w:szCs w:val="21"/>
                <w:highlight w:val="none"/>
              </w:rPr>
            </w:pPr>
            <w:r>
              <w:rPr>
                <w:rFonts w:hint="default" w:ascii="宋体" w:hAnsi="宋体" w:eastAsia="宋体" w:cs="宋体"/>
                <w:bCs/>
                <w:color w:val="auto"/>
                <w:sz w:val="21"/>
                <w:szCs w:val="21"/>
                <w:highlight w:val="none"/>
                <w:lang w:val="en-US" w:eastAsia="zh-CN"/>
              </w:rPr>
              <w:t>中标人须为采购人提供一份采购人为受益人、额度为</w:t>
            </w:r>
            <w:r>
              <w:rPr>
                <w:rFonts w:hint="eastAsia" w:ascii="宋体" w:hAnsi="宋体" w:cs="宋体"/>
                <w:bCs/>
                <w:color w:val="auto"/>
                <w:sz w:val="21"/>
                <w:szCs w:val="21"/>
                <w:highlight w:val="none"/>
                <w:lang w:val="en-US" w:eastAsia="zh-CN"/>
              </w:rPr>
              <w:t>200</w:t>
            </w:r>
            <w:r>
              <w:rPr>
                <w:rFonts w:hint="default" w:ascii="宋体" w:hAnsi="宋体" w:eastAsia="宋体" w:cs="宋体"/>
                <w:bCs/>
                <w:color w:val="auto"/>
                <w:sz w:val="21"/>
                <w:szCs w:val="21"/>
                <w:highlight w:val="none"/>
                <w:lang w:val="en-US" w:eastAsia="zh-CN"/>
              </w:rPr>
              <w:t>万元的保险（食品安全责任险），保险承保期限不短于</w:t>
            </w:r>
            <w:r>
              <w:rPr>
                <w:rFonts w:hint="eastAsia" w:ascii="宋体" w:hAnsi="宋体" w:cs="宋体"/>
                <w:bCs/>
                <w:color w:val="auto"/>
                <w:sz w:val="21"/>
                <w:szCs w:val="21"/>
                <w:highlight w:val="none"/>
                <w:lang w:val="en-US" w:eastAsia="zh-CN"/>
              </w:rPr>
              <w:t>三</w:t>
            </w:r>
            <w:r>
              <w:rPr>
                <w:rFonts w:hint="default" w:ascii="宋体" w:hAnsi="宋体" w:eastAsia="宋体" w:cs="宋体"/>
                <w:bCs/>
                <w:color w:val="auto"/>
                <w:sz w:val="21"/>
                <w:szCs w:val="21"/>
                <w:highlight w:val="none"/>
                <w:lang w:val="en-US" w:eastAsia="zh-CN"/>
              </w:rPr>
              <w:t>年。</w:t>
            </w:r>
          </w:p>
        </w:tc>
      </w:tr>
      <w:tr w14:paraId="427AE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21241629">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6</w:t>
            </w:r>
          </w:p>
        </w:tc>
        <w:tc>
          <w:tcPr>
            <w:tcW w:w="774" w:type="pct"/>
            <w:vAlign w:val="center"/>
          </w:tcPr>
          <w:p w14:paraId="7E4E4CE0">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质量及包装要求</w:t>
            </w:r>
          </w:p>
        </w:tc>
        <w:tc>
          <w:tcPr>
            <w:tcW w:w="3858" w:type="pct"/>
            <w:vAlign w:val="center"/>
          </w:tcPr>
          <w:p w14:paraId="059F79F8">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人应充分理解并认真遵循本招标文件的要求，所提供的货物必须是满足招标文件要求。保证供应的货品均为正规生产的新鲜（冰鲜除外）、检验合格、无毒、无辐射、无侵权货品，符合国家有关卫生、质量、包装和保质标准，有使用有效期的货品，其剩余有效期不得少于标注有效期的50%。</w:t>
            </w:r>
          </w:p>
          <w:p w14:paraId="51D7DEA8">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2.中标人保证所提供的水产品和蔬菜种类的多样性和季节性，以保证新鲜感。</w:t>
            </w:r>
          </w:p>
          <w:p w14:paraId="335A9361">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3.货物有包装的，货物的包装必须完整清洁（无损、无污、无皱），采购人有权拒收包装不整齐、已拆封的货品。</w:t>
            </w:r>
          </w:p>
          <w:p w14:paraId="798503DC">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4.货品质量或包装不符合采购人要求的，中标人必须无条件退货或更换。</w:t>
            </w:r>
          </w:p>
          <w:p w14:paraId="5FE74AB3">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5.中标人提供假冒伪劣、过期、变质货品的，一经发现，除按采购人要求无条件退货或换货外，还将受到如下处罚：</w:t>
            </w:r>
          </w:p>
          <w:p w14:paraId="295AA8C6">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(1)中标人提供过期、变质货品3次以上或提供假冒伪劣货品的，采购人有权单方终止合同；</w:t>
            </w:r>
          </w:p>
          <w:p w14:paraId="1279B56C">
            <w:pPr>
              <w:widowControl w:val="0"/>
              <w:tabs>
                <w:tab w:val="left" w:pos="709"/>
              </w:tabs>
              <w:adjustRightInd/>
              <w:snapToGrid/>
              <w:spacing w:after="0" w:line="360" w:lineRule="auto"/>
              <w:ind w:firstLine="420" w:firstLineChars="200"/>
              <w:jc w:val="both"/>
              <w:rPr>
                <w:rFonts w:ascii="宋体" w:hAnsi="宋体" w:eastAsia="宋体"/>
                <w:color w:val="auto"/>
                <w:szCs w:val="21"/>
                <w:highlight w:val="none"/>
              </w:rPr>
            </w:pPr>
            <w:r>
              <w:rPr>
                <w:rFonts w:hint="eastAsia" w:ascii="宋体" w:hAnsi="宋体" w:eastAsia="宋体" w:cs="宋体"/>
                <w:color w:val="auto"/>
                <w:kern w:val="2"/>
                <w:sz w:val="21"/>
                <w:szCs w:val="21"/>
                <w:highlight w:val="none"/>
              </w:rPr>
              <w:t>(2)因中标人供应货品质量问题造成食品安全事故的，经有关部门鉴定后，中标人须负担全数的医药费及赔偿费等，采购人将取消该中标人的供货资格，中标人同时承担相应的民事及刑事法律责任。</w:t>
            </w:r>
          </w:p>
        </w:tc>
      </w:tr>
      <w:tr w14:paraId="291D9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42208F7A">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7</w:t>
            </w:r>
          </w:p>
        </w:tc>
        <w:tc>
          <w:tcPr>
            <w:tcW w:w="774" w:type="pct"/>
            <w:shd w:val="clear" w:color="auto" w:fill="auto"/>
            <w:vAlign w:val="center"/>
          </w:tcPr>
          <w:p w14:paraId="11DBE3DA">
            <w:pPr>
              <w:spacing w:after="0"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保密条款</w:t>
            </w:r>
          </w:p>
        </w:tc>
        <w:tc>
          <w:tcPr>
            <w:tcW w:w="3858" w:type="pct"/>
            <w:shd w:val="clear" w:color="auto" w:fill="auto"/>
            <w:vAlign w:val="center"/>
          </w:tcPr>
          <w:p w14:paraId="21538EFC">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在实施货物供货期间，不得将供货的实际数量及供货地点泄露给其他企业或者个人，</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tc>
      </w:tr>
      <w:tr w14:paraId="3B24F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55C66727">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8</w:t>
            </w:r>
          </w:p>
        </w:tc>
        <w:tc>
          <w:tcPr>
            <w:tcW w:w="774" w:type="pct"/>
            <w:shd w:val="clear" w:color="auto" w:fill="auto"/>
            <w:vAlign w:val="center"/>
          </w:tcPr>
          <w:p w14:paraId="04AAEDCE">
            <w:pPr>
              <w:spacing w:after="0"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验收标准</w:t>
            </w:r>
          </w:p>
        </w:tc>
        <w:tc>
          <w:tcPr>
            <w:tcW w:w="3858" w:type="pct"/>
            <w:shd w:val="clear" w:color="auto" w:fill="auto"/>
            <w:vAlign w:val="center"/>
          </w:tcPr>
          <w:p w14:paraId="3883FB6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人所供应的货品必须符合国家和东莞市的相关安全质量标准、卫生标准等，同时符合采购人的使用要求，包括但不限于各分包所列的货品质量要求。中标人在接受订单时须确认采购人对货品的使用要求，对于不符合采购人要求的货品，采购人有权拒收或要求更换。</w:t>
            </w:r>
          </w:p>
        </w:tc>
      </w:tr>
      <w:tr w14:paraId="6F76F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52CE32F9">
            <w:pPr>
              <w:adjustRightInd/>
              <w:snapToGrid/>
              <w:spacing w:after="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774" w:type="pct"/>
            <w:shd w:val="clear" w:color="auto" w:fill="auto"/>
            <w:vAlign w:val="center"/>
          </w:tcPr>
          <w:p w14:paraId="3EB41180">
            <w:pPr>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每月评分表及退出机制</w:t>
            </w:r>
          </w:p>
        </w:tc>
        <w:tc>
          <w:tcPr>
            <w:tcW w:w="3858" w:type="pct"/>
            <w:shd w:val="clear" w:color="auto" w:fill="auto"/>
            <w:vAlign w:val="center"/>
          </w:tcPr>
          <w:p w14:paraId="1407C1CB">
            <w:pPr>
              <w:widowControl w:val="0"/>
              <w:tabs>
                <w:tab w:val="left" w:pos="709"/>
              </w:tabs>
              <w:adjustRightInd/>
              <w:snapToGrid/>
              <w:spacing w:after="0"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供应商月度评价表》</w:t>
            </w:r>
          </w:p>
          <w:p w14:paraId="1714BED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考核时段：      年     月</w:t>
            </w:r>
          </w:p>
          <w:tbl>
            <w:tblPr>
              <w:tblStyle w:val="17"/>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303"/>
              <w:gridCol w:w="3853"/>
              <w:gridCol w:w="711"/>
              <w:gridCol w:w="641"/>
            </w:tblGrid>
            <w:tr w14:paraId="63D4C43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112720E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p>
              </w:tc>
              <w:tc>
                <w:tcPr>
                  <w:tcW w:w="7080" w:type="dxa"/>
                  <w:gridSpan w:val="3"/>
                  <w:tcBorders>
                    <w:top w:val="single" w:color="000000" w:sz="4" w:space="0"/>
                    <w:left w:val="single" w:color="000000" w:sz="4" w:space="0"/>
                    <w:bottom w:val="single" w:color="000000" w:sz="4" w:space="0"/>
                    <w:right w:val="single" w:color="000000" w:sz="4" w:space="0"/>
                  </w:tcBorders>
                  <w:noWrap w:val="0"/>
                  <w:vAlign w:val="center"/>
                </w:tcPr>
                <w:p w14:paraId="10CBC4B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41A064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62A13FB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评价指标</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0AE62C6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指标说明</w:t>
                  </w: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01AD34B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得分</w:t>
                  </w: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4740599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38FC4E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2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62A119B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6E8F5091">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648170A3">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食品安全（满分40分）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685197B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1．食品安全检测的指标不合格每次扣5分。</w:t>
                  </w:r>
                </w:p>
                <w:p w14:paraId="7E088285">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2．应附未附货品检验检疫证明的，每次扣3分。</w:t>
                  </w:r>
                </w:p>
                <w:p w14:paraId="2CAA200A">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3．应用未用冷链配送货品，或运载工具、盛装容器不符合卫生要求的，每次扣3分。</w:t>
                  </w:r>
                </w:p>
                <w:p w14:paraId="2D32A8F8">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4．所供货品包装破损或掺有异物，且有可能对货品造成污染的，每次扣5分。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5BE21B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6AF98B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4D4DF1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4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2F045F2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3FF144B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货品质量（满分30分）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79C9501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1．所供货品质量</w:t>
                  </w:r>
                  <w:r>
                    <w:rPr>
                      <w:rFonts w:hint="eastAsia" w:ascii="宋体" w:hAnsi="宋体" w:cs="宋体"/>
                      <w:color w:val="auto"/>
                      <w:kern w:val="2"/>
                      <w:sz w:val="21"/>
                      <w:szCs w:val="21"/>
                      <w:highlight w:val="none"/>
                      <w:lang w:val="en-US" w:eastAsia="zh-CN"/>
                    </w:rPr>
                    <w:t>比对市场上同等价钱的货品质量不达标</w:t>
                  </w: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以次充好的</w:t>
                  </w:r>
                  <w:r>
                    <w:rPr>
                      <w:rFonts w:hint="eastAsia" w:ascii="宋体" w:hAnsi="宋体" w:eastAsia="宋体" w:cs="宋体"/>
                      <w:color w:val="auto"/>
                      <w:kern w:val="2"/>
                      <w:sz w:val="21"/>
                      <w:szCs w:val="21"/>
                      <w:highlight w:val="none"/>
                    </w:rPr>
                    <w:t>，每次扣3分。</w:t>
                  </w:r>
                </w:p>
                <w:p w14:paraId="4BAF0318">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2、所供货品质量较差且不能使用，或保质期已过半的，每次扣5分。</w:t>
                  </w:r>
                </w:p>
                <w:p w14:paraId="4FDA206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3．供货品种、规格与订单或送货单不符的，每次扣5分。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A4A051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415FB6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5BB05D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25C25A4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7DCBEE8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货品数量（满分10分）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1163216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1．供货数量与订单数量相差超过±5％的，每次扣1分。</w:t>
                  </w:r>
                </w:p>
                <w:p w14:paraId="758FD588">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2．供货数量与订单数量相差超过±10％的，每次扣2分。</w:t>
                  </w:r>
                </w:p>
                <w:p w14:paraId="43A1E91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3．供货数量与订单数量相差超过±20％的，每次扣3分。</w:t>
                  </w:r>
                </w:p>
                <w:p w14:paraId="6224856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4．供货数量与送货单数量不符的，每次扣3分。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7A598E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53614C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0D58F2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0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6C24016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货品价格（满分10分）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303CD01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1．不按要求报价，或报价后</w:t>
                  </w:r>
                  <w:r>
                    <w:rPr>
                      <w:rFonts w:hint="eastAsia" w:ascii="宋体" w:hAnsi="宋体" w:cs="宋体"/>
                      <w:color w:val="auto"/>
                      <w:kern w:val="2"/>
                      <w:sz w:val="21"/>
                      <w:szCs w:val="21"/>
                      <w:highlight w:val="none"/>
                      <w:lang w:val="en-US" w:eastAsia="zh-CN"/>
                    </w:rPr>
                    <w:t>市场有货但供应商不供货的</w:t>
                  </w:r>
                  <w:r>
                    <w:rPr>
                      <w:rFonts w:hint="eastAsia" w:ascii="宋体" w:hAnsi="宋体" w:eastAsia="宋体" w:cs="宋体"/>
                      <w:color w:val="auto"/>
                      <w:kern w:val="2"/>
                      <w:sz w:val="21"/>
                      <w:szCs w:val="21"/>
                      <w:highlight w:val="none"/>
                    </w:rPr>
                    <w:t>，每次扣1分。</w:t>
                  </w:r>
                </w:p>
                <w:p w14:paraId="2F00412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2．送货单价格与当期定价不符的，每次扣2分。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BC2FB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25E12E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183CB9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476496F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22F250E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服务质量（满分10分）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3E18341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1．服务态度差，每次扣1分。</w:t>
                  </w:r>
                </w:p>
                <w:p w14:paraId="5949209B">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2．未按时送货，但不耽误备餐工作的，每迟送一次扣1分。</w:t>
                  </w:r>
                </w:p>
                <w:p w14:paraId="6E5D3305">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3．未按时送货，且耽误备餐工作的，每迟送一次扣2分。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DA8E125">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3663E6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24C484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0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7CF9458A">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综合评价</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173B9E">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6E389AD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综合得分</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17C9D9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7F9ACD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00" w:hRule="atLeast"/>
              </w:trPr>
              <w:tc>
                <w:tcPr>
                  <w:tcW w:w="8760" w:type="dxa"/>
                  <w:gridSpan w:val="4"/>
                  <w:tcBorders>
                    <w:top w:val="single" w:color="000000" w:sz="4" w:space="0"/>
                    <w:left w:val="single" w:color="000000" w:sz="4" w:space="0"/>
                    <w:bottom w:val="single" w:color="000000" w:sz="4" w:space="0"/>
                    <w:right w:val="single" w:color="000000" w:sz="4" w:space="0"/>
                  </w:tcBorders>
                  <w:noWrap w:val="0"/>
                  <w:vAlign w:val="top"/>
                </w:tcPr>
                <w:p w14:paraId="243D2AC3">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评价小组成员：</w:t>
                  </w:r>
                </w:p>
                <w:p w14:paraId="1453B9F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00E455F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日期：</w:t>
                  </w:r>
                </w:p>
              </w:tc>
            </w:tr>
          </w:tbl>
          <w:p w14:paraId="5E903D00">
            <w:pPr>
              <w:widowControl w:val="0"/>
              <w:tabs>
                <w:tab w:val="left" w:pos="709"/>
              </w:tabs>
              <w:adjustRightInd/>
              <w:snapToGrid/>
              <w:spacing w:after="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每月将对</w:t>
            </w:r>
            <w:r>
              <w:rPr>
                <w:rFonts w:hint="eastAsia" w:ascii="宋体" w:hAnsi="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的服务情况进行评价。综合评价得分≥90分为合格；如出现连续两个月综合评价得分＜60分的，</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有权单方面终止合同；同时</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根据第一年服务期内实际服务月数的考核算术平均分＜90分，</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en-US" w:eastAsia="zh-CN"/>
              </w:rPr>
              <w:t>第一年合约到期后解除剩余</w:t>
            </w:r>
            <w:r>
              <w:rPr>
                <w:rFonts w:hint="eastAsia" w:ascii="宋体" w:hAnsi="宋体" w:eastAsia="宋体" w:cs="宋体"/>
                <w:color w:val="auto"/>
                <w:kern w:val="2"/>
                <w:sz w:val="21"/>
                <w:szCs w:val="21"/>
                <w:highlight w:val="none"/>
              </w:rPr>
              <w:t>合同。由此产生的损失由</w:t>
            </w:r>
            <w:r>
              <w:rPr>
                <w:rFonts w:hint="eastAsia" w:ascii="宋体" w:hAnsi="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自行承担。</w:t>
            </w:r>
            <w:r>
              <w:rPr>
                <w:rFonts w:hint="eastAsia" w:ascii="宋体" w:hAnsi="宋体" w:eastAsia="宋体" w:cs="宋体"/>
                <w:color w:val="auto"/>
                <w:kern w:val="2"/>
                <w:sz w:val="21"/>
                <w:szCs w:val="21"/>
                <w:highlight w:val="none"/>
                <w:lang w:val="en-US" w:eastAsia="zh-CN"/>
              </w:rPr>
              <w:t>解除合同后，如</w:t>
            </w:r>
            <w:r>
              <w:rPr>
                <w:rFonts w:hint="eastAsia" w:ascii="宋体" w:hAnsi="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val="en-US" w:eastAsia="zh-CN"/>
              </w:rPr>
              <w:t>未签订新供应商前，</w:t>
            </w:r>
            <w:r>
              <w:rPr>
                <w:rFonts w:hint="eastAsia" w:ascii="宋体" w:hAnsi="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lang w:val="en-US" w:eastAsia="zh-CN"/>
              </w:rPr>
              <w:t>必须配合</w:t>
            </w:r>
            <w:r>
              <w:rPr>
                <w:rFonts w:hint="eastAsia" w:ascii="宋体" w:hAnsi="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val="en-US" w:eastAsia="zh-CN"/>
              </w:rPr>
              <w:t>配送食材，直至与新供应商完成配送交接。</w:t>
            </w:r>
          </w:p>
        </w:tc>
      </w:tr>
      <w:tr w14:paraId="1EAE2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3D428A30">
            <w:pPr>
              <w:adjustRightInd/>
              <w:snapToGrid/>
              <w:spacing w:after="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774" w:type="pct"/>
            <w:shd w:val="clear" w:color="auto" w:fill="auto"/>
            <w:vAlign w:val="center"/>
          </w:tcPr>
          <w:p w14:paraId="57F5FFDC">
            <w:pPr>
              <w:spacing w:after="0"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w:t>
            </w:r>
          </w:p>
        </w:tc>
        <w:tc>
          <w:tcPr>
            <w:tcW w:w="3858" w:type="pct"/>
            <w:shd w:val="clear" w:color="auto" w:fill="auto"/>
            <w:vAlign w:val="center"/>
          </w:tcPr>
          <w:p w14:paraId="0D8A75B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非采购人的人为原因而出现产品质量，由中标人负责包换或包退，并承担因此而产生的一切费用。</w:t>
            </w:r>
          </w:p>
        </w:tc>
      </w:tr>
      <w:tr w14:paraId="1A0B3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112B6BE0">
            <w:pPr>
              <w:adjustRightInd/>
              <w:snapToGrid/>
              <w:spacing w:after="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color w:val="auto"/>
                <w:szCs w:val="21"/>
                <w:highlight w:val="none"/>
                <w:lang w:val="en-US" w:eastAsia="zh-CN"/>
              </w:rPr>
              <w:t>1</w:t>
            </w:r>
          </w:p>
        </w:tc>
        <w:tc>
          <w:tcPr>
            <w:tcW w:w="774" w:type="pct"/>
            <w:shd w:val="clear" w:color="auto" w:fill="auto"/>
            <w:vAlign w:val="center"/>
          </w:tcPr>
          <w:p w14:paraId="41E5B557">
            <w:pPr>
              <w:adjustRightInd/>
              <w:snapToGrid/>
              <w:spacing w:after="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其它要求</w:t>
            </w:r>
          </w:p>
        </w:tc>
        <w:tc>
          <w:tcPr>
            <w:tcW w:w="3858" w:type="pct"/>
            <w:shd w:val="clear" w:color="auto" w:fill="auto"/>
            <w:vAlign w:val="center"/>
          </w:tcPr>
          <w:p w14:paraId="3885EC2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实质响应合同各条款。</w:t>
            </w:r>
          </w:p>
        </w:tc>
      </w:tr>
      <w:tr w14:paraId="07099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366" w:type="pct"/>
            <w:vAlign w:val="center"/>
          </w:tcPr>
          <w:p w14:paraId="45C897F0">
            <w:pPr>
              <w:adjustRightInd/>
              <w:snapToGrid/>
              <w:spacing w:after="0"/>
              <w:jc w:val="center"/>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olor w:val="auto"/>
                <w:szCs w:val="21"/>
                <w:highlight w:val="none"/>
                <w:lang w:val="en-US" w:eastAsia="zh-CN"/>
              </w:rPr>
              <w:t>1</w:t>
            </w:r>
            <w:r>
              <w:rPr>
                <w:rFonts w:hint="eastAsia" w:ascii="宋体" w:hAnsi="宋体"/>
                <w:color w:val="auto"/>
                <w:szCs w:val="21"/>
                <w:highlight w:val="none"/>
                <w:lang w:val="en-US" w:eastAsia="zh-CN"/>
              </w:rPr>
              <w:t>2</w:t>
            </w:r>
          </w:p>
        </w:tc>
        <w:tc>
          <w:tcPr>
            <w:tcW w:w="774" w:type="pct"/>
            <w:vAlign w:val="center"/>
          </w:tcPr>
          <w:p w14:paraId="2E2D3D5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各采购包兼投不兼中的规则</w:t>
            </w:r>
          </w:p>
        </w:tc>
        <w:tc>
          <w:tcPr>
            <w:tcW w:w="3858" w:type="pct"/>
            <w:vAlign w:val="center"/>
          </w:tcPr>
          <w:p w14:paraId="69A1904C">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本项目兼投不兼中，每个</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人最多只能被确定为1个子包的第一。本项目按子包的顺序进行评审，依次按照评标总得分由高到低的顺序，每包组推荐三名</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候选人。已获得</w:t>
            </w:r>
            <w:r>
              <w:rPr>
                <w:rFonts w:hint="eastAsia" w:ascii="宋体" w:hAnsi="宋体" w:eastAsia="宋体" w:cs="宋体"/>
                <w:color w:val="auto"/>
                <w:sz w:val="21"/>
                <w:szCs w:val="21"/>
                <w:highlight w:val="none"/>
                <w:lang w:val="en-US" w:eastAsia="zh-CN"/>
              </w:rPr>
              <w:t>采购包A</w:t>
            </w:r>
            <w:r>
              <w:rPr>
                <w:rFonts w:hint="eastAsia" w:ascii="宋体" w:hAnsi="宋体" w:eastAsia="宋体" w:cs="宋体"/>
                <w:color w:val="auto"/>
                <w:sz w:val="21"/>
                <w:szCs w:val="21"/>
                <w:highlight w:val="none"/>
              </w:rPr>
              <w:t>的第一</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候选人资格的候选人将不进入</w:t>
            </w:r>
            <w:r>
              <w:rPr>
                <w:rFonts w:hint="eastAsia" w:ascii="宋体" w:hAnsi="宋体" w:eastAsia="宋体" w:cs="宋体"/>
                <w:color w:val="auto"/>
                <w:sz w:val="21"/>
                <w:szCs w:val="21"/>
                <w:highlight w:val="none"/>
                <w:lang w:val="en-US" w:eastAsia="zh-CN"/>
              </w:rPr>
              <w:t>采购包B</w:t>
            </w:r>
            <w:r>
              <w:rPr>
                <w:rFonts w:hint="eastAsia" w:ascii="宋体" w:hAnsi="宋体" w:eastAsia="宋体" w:cs="宋体"/>
                <w:color w:val="auto"/>
                <w:sz w:val="21"/>
                <w:szCs w:val="21"/>
                <w:highlight w:val="none"/>
              </w:rPr>
              <w:t>的评审环节，如</w:t>
            </w:r>
            <w:r>
              <w:rPr>
                <w:rFonts w:hint="eastAsia" w:ascii="宋体" w:hAnsi="宋体" w:eastAsia="宋体" w:cs="宋体"/>
                <w:color w:val="auto"/>
                <w:sz w:val="21"/>
                <w:szCs w:val="21"/>
                <w:highlight w:val="none"/>
                <w:lang w:val="en-US" w:eastAsia="zh-CN"/>
              </w:rPr>
              <w:t>采购包B</w:t>
            </w:r>
            <w:r>
              <w:rPr>
                <w:rFonts w:hint="eastAsia" w:ascii="宋体" w:hAnsi="宋体" w:eastAsia="宋体" w:cs="宋体"/>
                <w:color w:val="auto"/>
                <w:sz w:val="21"/>
                <w:szCs w:val="21"/>
                <w:highlight w:val="none"/>
              </w:rPr>
              <w:t>进入评审环节的合格响应人不足3家的，此包组作为废标处理。</w:t>
            </w:r>
            <w:r>
              <w:rPr>
                <w:rFonts w:hint="eastAsia" w:ascii="宋体" w:hAnsi="宋体" w:eastAsia="宋体" w:cs="宋体"/>
                <w:color w:val="auto"/>
                <w:sz w:val="21"/>
                <w:szCs w:val="21"/>
                <w:highlight w:val="none"/>
                <w:lang w:val="en-US" w:eastAsia="zh-CN"/>
              </w:rPr>
              <w:t>如此类推。</w:t>
            </w:r>
          </w:p>
        </w:tc>
      </w:tr>
    </w:tbl>
    <w:p w14:paraId="1CF7082A">
      <w:pPr>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BBEC6A7">
      <w:pPr>
        <w:ind w:firstLine="562"/>
        <w:jc w:val="center"/>
        <w:outlineLvl w:val="1"/>
        <w:rPr>
          <w:b/>
          <w:bCs/>
          <w:color w:val="auto"/>
          <w:sz w:val="28"/>
          <w:szCs w:val="36"/>
          <w:highlight w:val="none"/>
        </w:rPr>
      </w:pPr>
      <w:bookmarkStart w:id="140" w:name="_Toc4445"/>
      <w:bookmarkStart w:id="141" w:name="_Toc16983"/>
      <w:bookmarkStart w:id="142" w:name="_Toc3714"/>
      <w:bookmarkStart w:id="143" w:name="_Toc4572"/>
      <w:r>
        <w:rPr>
          <w:rFonts w:hint="eastAsia"/>
          <w:b/>
          <w:bCs/>
          <w:color w:val="auto"/>
          <w:sz w:val="28"/>
          <w:szCs w:val="36"/>
          <w:highlight w:val="none"/>
        </w:rPr>
        <w:t>技术要求</w:t>
      </w:r>
      <w:bookmarkEnd w:id="140"/>
      <w:bookmarkEnd w:id="141"/>
      <w:bookmarkEnd w:id="142"/>
      <w:bookmarkEnd w:id="143"/>
    </w:p>
    <w:p w14:paraId="63F22988">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一、</w:t>
      </w:r>
      <w:r>
        <w:rPr>
          <w:rFonts w:hint="eastAsia" w:ascii="宋体" w:hAnsi="宋体" w:eastAsia="宋体" w:cs="宋体"/>
          <w:b/>
          <w:bCs/>
          <w:color w:val="auto"/>
          <w:sz w:val="21"/>
          <w:szCs w:val="21"/>
          <w:highlight w:val="none"/>
        </w:rPr>
        <w:t>食材服务需求</w:t>
      </w:r>
    </w:p>
    <w:p w14:paraId="50A82218">
      <w:pPr>
        <w:keepNext w:val="0"/>
        <w:keepLines w:val="0"/>
        <w:pageBreakBefore w:val="0"/>
        <w:widowControl w:val="0"/>
        <w:numPr>
          <w:ilvl w:val="0"/>
          <w:numId w:val="0"/>
        </w:numPr>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（一）</w:t>
      </w:r>
      <w:r>
        <w:rPr>
          <w:rFonts w:hint="eastAsia" w:ascii="宋体" w:hAnsi="宋体" w:eastAsia="宋体" w:cs="宋体"/>
          <w:b/>
          <w:color w:val="auto"/>
          <w:sz w:val="21"/>
          <w:szCs w:val="21"/>
          <w:highlight w:val="none"/>
        </w:rPr>
        <w:t>质量要求</w:t>
      </w:r>
    </w:p>
    <w:p w14:paraId="7BDD952C">
      <w:pPr>
        <w:keepNext w:val="0"/>
        <w:keepLines w:val="0"/>
        <w:pageBreakBefore w:val="0"/>
        <w:widowControl w:val="0"/>
        <w:kinsoku/>
        <w:wordWrap/>
        <w:overflowPunct/>
        <w:topLinePunct w:val="0"/>
        <w:autoSpaceDE/>
        <w:autoSpaceDN/>
        <w:bidi w:val="0"/>
        <w:spacing w:after="0" w:line="360" w:lineRule="auto"/>
        <w:ind w:left="4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适用于包A：</w:t>
      </w:r>
    </w:p>
    <w:p w14:paraId="6F08EB17">
      <w:pPr>
        <w:keepNext w:val="0"/>
        <w:keepLines w:val="0"/>
        <w:pageBreakBefore w:val="0"/>
        <w:widowControl w:val="0"/>
        <w:kinsoku/>
        <w:wordWrap/>
        <w:overflowPunct/>
        <w:topLinePunct w:val="0"/>
        <w:autoSpaceDE/>
        <w:autoSpaceDN/>
        <w:bidi w:val="0"/>
        <w:spacing w:after="0" w:line="360" w:lineRule="auto"/>
        <w:ind w:left="4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1.蔬菜瓜果供应货品质量要求</w:t>
      </w:r>
    </w:p>
    <w:p w14:paraId="48515C88">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蔬菜须确保鲜嫩度，不得有黄叶、斑点、腐烂或有异常味道，利用率不得低于95%，且不含有残留农药或污染物，并出具有效的《农产品检验报告》。卫生质量指标，应符合我国无公害蔬菜上的卫生指标规定。采购人对所配送蔬菜进行二次农残检测，如含量超标采购人有权要求中标人无条件退货或换货，同时做好相关记录。</w:t>
      </w:r>
    </w:p>
    <w:p w14:paraId="6CE8BCC9">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(2)中标人需设自检测室或有固定的送检机构，每天所供蔬菜类都要提供农药残留的检测报告，并交采购人存档备查。</w:t>
      </w:r>
    </w:p>
    <w:p w14:paraId="3E21679A">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(3)中标人提供的豆制品须确保色泽均匀，呈块状、硬度适中、富有弹性、持水性好、无霉点。有主料应有的香气，无异味，无肉眼可见外来异物。</w:t>
      </w:r>
    </w:p>
    <w:p w14:paraId="18AFD786">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未发现问题，而在加工食用前发现部分货品存在质量问题的，采购人立即通知中标人将问题货品进行退换货处理。如中标人所供应货品出现质量问题造成食品安全事故，中标人应承担全部责任和经济损失。</w:t>
      </w:r>
    </w:p>
    <w:p w14:paraId="0A28E735">
      <w:pPr>
        <w:keepNext w:val="0"/>
        <w:keepLines w:val="0"/>
        <w:pageBreakBefore w:val="0"/>
        <w:widowControl w:val="0"/>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2.肉</w:t>
      </w:r>
      <w:r>
        <w:rPr>
          <w:rFonts w:hint="eastAsia" w:ascii="宋体" w:hAnsi="宋体" w:eastAsia="宋体" w:cs="宋体"/>
          <w:b/>
          <w:bCs/>
          <w:color w:val="auto"/>
          <w:sz w:val="21"/>
          <w:szCs w:val="21"/>
          <w:highlight w:val="none"/>
          <w:lang w:eastAsia="zh-CN"/>
        </w:rPr>
        <w:t>禽蛋</w:t>
      </w:r>
      <w:r>
        <w:rPr>
          <w:rFonts w:hint="eastAsia" w:ascii="宋体" w:hAnsi="宋体" w:eastAsia="宋体" w:cs="宋体"/>
          <w:b/>
          <w:bCs/>
          <w:color w:val="auto"/>
          <w:sz w:val="21"/>
          <w:szCs w:val="21"/>
          <w:highlight w:val="none"/>
        </w:rPr>
        <w:t>类供应货品质量要求</w:t>
      </w:r>
    </w:p>
    <w:p w14:paraId="0C462310">
      <w:pPr>
        <w:keepNext w:val="0"/>
        <w:keepLines w:val="0"/>
        <w:pageBreakBefore w:val="0"/>
        <w:widowControl w:val="0"/>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鲜（禽）肉：</w:t>
      </w:r>
    </w:p>
    <w:p w14:paraId="7F9B10BE">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类全部来源于正规肉联厂，保证为当日新鲜肉，并提供政府检疫部门出示的检疫合格证明。（鲜肉类利用率不低于98%）</w:t>
      </w:r>
    </w:p>
    <w:p w14:paraId="5ABA1C15">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（2）具有当天卫生监督部门发放的“动物检疫合格证明”，肉体印有检疫章。</w:t>
      </w:r>
    </w:p>
    <w:p w14:paraId="55F463F1">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（3）表皮干爽、肌体结实、肉质紧密、肉色淡红新鲜，肥肉洁白而细腻。</w:t>
      </w:r>
    </w:p>
    <w:p w14:paraId="53C37C61">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（4）外观检测无异味、无寄生虫、无粘液、无渗出液体、指压反弹迅速、具有猪肉自然气味。</w:t>
      </w:r>
    </w:p>
    <w:p w14:paraId="01CDF523">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（5）运输设备具备恒温保鲜（5度），存放容器保持清洁卫生，包装合理且材料无污染。</w:t>
      </w:r>
    </w:p>
    <w:p w14:paraId="02B84018">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（6）来源可靠放心，无毒、无害、无污染。</w:t>
      </w:r>
    </w:p>
    <w:p w14:paraId="2EE3BBDC">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冻</w:t>
      </w:r>
      <w:r>
        <w:rPr>
          <w:rFonts w:hint="eastAsia" w:ascii="宋体" w:hAnsi="宋体" w:eastAsia="宋体" w:cs="宋体"/>
          <w:b/>
          <w:bCs/>
          <w:color w:val="auto"/>
          <w:sz w:val="21"/>
          <w:szCs w:val="21"/>
          <w:highlight w:val="none"/>
          <w:lang w:eastAsia="zh-CN"/>
        </w:rPr>
        <w:t>（禽）</w:t>
      </w:r>
      <w:r>
        <w:rPr>
          <w:rFonts w:hint="eastAsia" w:ascii="宋体" w:hAnsi="宋体" w:eastAsia="宋体" w:cs="宋体"/>
          <w:b/>
          <w:bCs/>
          <w:color w:val="auto"/>
          <w:sz w:val="21"/>
          <w:szCs w:val="21"/>
          <w:highlight w:val="none"/>
          <w:lang w:val="en-US" w:eastAsia="zh-CN"/>
        </w:rPr>
        <w:t>肉:</w:t>
      </w:r>
    </w:p>
    <w:p w14:paraId="33AA1650">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（1）凡是冻（禽）肉类产品必须包装完整并有生产厂址和生产日期；</w:t>
      </w:r>
    </w:p>
    <w:p w14:paraId="7295CE75">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（2）冻（禽）肉类产品中如涉及该产品类别必须满足产品检疫标准的，需提供产品检疫证明文件，如冻3号肉和冻肋排等；</w:t>
      </w:r>
    </w:p>
    <w:p w14:paraId="2F0A0B53">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（3）冻（禽）肉类产品质量必须符合验收标准(如新鲜度等)；</w:t>
      </w:r>
    </w:p>
    <w:p w14:paraId="73343B79">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（4）冻（禽）肉类产品中间不能有过多冰块；</w:t>
      </w:r>
    </w:p>
    <w:p w14:paraId="0D9B315A">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（5）冻（禽）肉类产品重量必须和包装箱上标明的重量一致；</w:t>
      </w:r>
    </w:p>
    <w:p w14:paraId="0D3BC40F">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（6）验货时，拆箱检查，如含水量太多称重时适当按比例除冰块的重量。称重时要扣除纸箱、以货品净重为准。如果外包装箱上标有净重，按净重入库，如果没有净重标识，按5%扣除含冰量；</w:t>
      </w:r>
    </w:p>
    <w:p w14:paraId="4286563E">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（7）如出现肉制品风干、变色之冻品不能收货。</w:t>
      </w:r>
    </w:p>
    <w:p w14:paraId="1D8AE960">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蛋类：</w:t>
      </w:r>
    </w:p>
    <w:p w14:paraId="077A4ED7">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蛋壳清洁完整，个头不能太细，色泽鲜明，无破损、裂纹，无霉斑，灯光透视时，整个蛋呈桔黄色至橙红色，蛋黄不见或略见阴影，没有霉味、酸味和臭味等气味。打开后蛋黄凸起、完整和有韧性，蛋白澄清、透明和稀稠分明，无异味。</w:t>
      </w:r>
    </w:p>
    <w:p w14:paraId="02DFF50C">
      <w:pPr>
        <w:keepNext w:val="0"/>
        <w:keepLines w:val="0"/>
        <w:pageBreakBefore w:val="0"/>
        <w:widowControl w:val="0"/>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3.水产品类供应货品质量要求</w:t>
      </w:r>
    </w:p>
    <w:p w14:paraId="2B5A40D7">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（1）必须鲜活。</w:t>
      </w:r>
    </w:p>
    <w:p w14:paraId="64132E07">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（2）非冰鲜类必须鲜活，利用率不低于95%；冰鲜类水产品解冻后利用率不低于80%。</w:t>
      </w:r>
    </w:p>
    <w:p w14:paraId="76D35B4C">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（3）鱼类</w:t>
      </w:r>
      <w:r>
        <w:rPr>
          <w:rFonts w:hint="eastAsia" w:ascii="宋体" w:hAnsi="宋体" w:eastAsia="宋体" w:cs="宋体"/>
          <w:color w:val="auto"/>
          <w:sz w:val="21"/>
          <w:szCs w:val="21"/>
          <w:highlight w:val="none"/>
          <w:lang w:eastAsia="zh-CN"/>
        </w:rPr>
        <w:t>：</w:t>
      </w:r>
    </w:p>
    <w:p w14:paraId="55A2A514">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游水生猛，跳动有力，对外界刺激敏感，鱼身无畸形，无翻肚；无嘴烂及其它外表损伤。鱼鳞完整有光泽，无片状红鳞，不易脱落，眼隔膜有光泽、透明，眼球突出；鱼腮鲜红色，有自然的鲜鱼气味，腹部坚实不膨胀，肛门内部洁净无异常红尾。大小均匀。如需吊水瘦身鱼类，吊水时间须达到指定天数。</w:t>
      </w:r>
    </w:p>
    <w:p w14:paraId="29ED3D2B">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）虾类</w:t>
      </w:r>
      <w:r>
        <w:rPr>
          <w:rFonts w:hint="eastAsia" w:ascii="宋体" w:hAnsi="宋体" w:eastAsia="宋体" w:cs="宋体"/>
          <w:color w:val="auto"/>
          <w:sz w:val="21"/>
          <w:szCs w:val="21"/>
          <w:highlight w:val="none"/>
          <w:lang w:eastAsia="zh-CN"/>
        </w:rPr>
        <w:t>：</w:t>
      </w:r>
    </w:p>
    <w:p w14:paraId="0D657CAC">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游水快，对外界刺激敏感；头尾完整，有一定弯曲度；虾眼突起，虾身较挺，肉质坚实；虾壳发亮、发硬，呈青绿色或青白色。</w:t>
      </w:r>
    </w:p>
    <w:p w14:paraId="07D307FC">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）其他海鲜类</w:t>
      </w:r>
      <w:r>
        <w:rPr>
          <w:rFonts w:hint="eastAsia" w:ascii="宋体" w:hAnsi="宋体" w:eastAsia="宋体" w:cs="宋体"/>
          <w:color w:val="auto"/>
          <w:sz w:val="21"/>
          <w:szCs w:val="21"/>
          <w:highlight w:val="none"/>
          <w:lang w:eastAsia="zh-CN"/>
        </w:rPr>
        <w:t>：</w:t>
      </w:r>
    </w:p>
    <w:p w14:paraId="59F221F9">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有固有的颜色，肉质坚实且富有弹性，轻按下肉后，手指的凹陷处可恢复，有海鲜固有的味道，无其它异味。</w:t>
      </w:r>
    </w:p>
    <w:p w14:paraId="79C67D78">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）身体饱满结实，无腐烂异味，肉质紧密有弹性，无离骨脱刺现象。</w:t>
      </w:r>
    </w:p>
    <w:p w14:paraId="5DA6EB97">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）来源可靠放心，无毒、无害、无污染。</w:t>
      </w:r>
    </w:p>
    <w:p w14:paraId="0836EBFB">
      <w:pPr>
        <w:keepNext w:val="0"/>
        <w:keepLines w:val="0"/>
        <w:pageBreakBefore w:val="0"/>
        <w:widowControl w:val="0"/>
        <w:kinsoku/>
        <w:wordWrap/>
        <w:overflowPunct/>
        <w:topLinePunct w:val="0"/>
        <w:autoSpaceDE/>
        <w:autoSpaceDN/>
        <w:bidi w:val="0"/>
        <w:spacing w:after="0" w:line="360" w:lineRule="auto"/>
        <w:ind w:left="4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适用于包B：</w:t>
      </w:r>
    </w:p>
    <w:p w14:paraId="4396656C">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40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1．</w:t>
      </w:r>
      <w:r>
        <w:rPr>
          <w:rFonts w:hint="eastAsia" w:ascii="宋体" w:hAnsi="宋体" w:eastAsia="宋体" w:cs="宋体"/>
          <w:b/>
          <w:bCs/>
          <w:color w:val="auto"/>
          <w:sz w:val="21"/>
          <w:szCs w:val="21"/>
          <w:highlight w:val="none"/>
        </w:rPr>
        <w:t>粮油类配送采购要求</w:t>
      </w:r>
    </w:p>
    <w:p w14:paraId="21A87F9E">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（1）供应产品的质量要求： </w:t>
      </w:r>
    </w:p>
    <w:p w14:paraId="5E2B974B">
      <w:pPr>
        <w:keepNext w:val="0"/>
        <w:keepLines w:val="0"/>
        <w:pageBreakBefore w:val="0"/>
        <w:widowControl w:val="0"/>
        <w:kinsoku/>
        <w:wordWrap/>
        <w:overflowPunct/>
        <w:topLinePunct w:val="0"/>
        <w:autoSpaceDE/>
        <w:autoSpaceDN/>
        <w:bidi w:val="0"/>
        <w:spacing w:after="0" w:line="360" w:lineRule="auto"/>
        <w:ind w:firstLine="315" w:firstLine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①米、油货物必须符合卫生，不得有腐烂、变质、油脂酸败、霉变、生虫、污秽不结、混有异物或者其他感官性状异常，并可能对人体健康有害的物质。</w:t>
      </w:r>
    </w:p>
    <w:p w14:paraId="6946927D">
      <w:pPr>
        <w:keepNext w:val="0"/>
        <w:keepLines w:val="0"/>
        <w:pageBreakBefore w:val="0"/>
        <w:widowControl w:val="0"/>
        <w:kinsoku/>
        <w:wordWrap/>
        <w:overflowPunct/>
        <w:topLinePunct w:val="0"/>
        <w:autoSpaceDE/>
        <w:autoSpaceDN/>
        <w:bidi w:val="0"/>
        <w:spacing w:after="0" w:line="360" w:lineRule="auto"/>
        <w:ind w:firstLine="315" w:firstLine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人所提供产品质量必须要符合行业标准要求，不得有掺假、变质、变味、过期等现象出现，严禁伪劣、假冒、无证不合格物品进入仓库。</w:t>
      </w:r>
    </w:p>
    <w:p w14:paraId="614DE1D8">
      <w:pPr>
        <w:keepNext w:val="0"/>
        <w:keepLines w:val="0"/>
        <w:pageBreakBefore w:val="0"/>
        <w:widowControl w:val="0"/>
        <w:kinsoku/>
        <w:wordWrap/>
        <w:overflowPunct/>
        <w:topLinePunct w:val="0"/>
        <w:autoSpaceDE/>
        <w:autoSpaceDN/>
        <w:bidi w:val="0"/>
        <w:spacing w:after="0" w:line="360" w:lineRule="auto"/>
        <w:ind w:firstLine="315" w:firstLine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③中标人在供应过程中，如果发生出现质量问题或造成食物中毒,如变质等情况，经查实后确属中标人责任，中标人应承担全部责任，主要包括食物中毒人员医疗费、误工费、事故处理费等，直至追究刑事责任。</w:t>
      </w:r>
    </w:p>
    <w:p w14:paraId="62928633">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（2）执行标准：</w:t>
      </w:r>
    </w:p>
    <w:p w14:paraId="49941C9A">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①米类执行标准：GB/T 1354-2018　 标准一等米 不含添加剂</w:t>
      </w:r>
    </w:p>
    <w:p w14:paraId="666CFDA5">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②大米的质量标准：除符合标准一等米外，要求：</w:t>
      </w:r>
    </w:p>
    <w:p w14:paraId="57376CDA">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碎米总量≤17% （国家标准：≤35%） </w:t>
      </w:r>
    </w:p>
    <w:p w14:paraId="6EE90F92">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小碎米总量≤2%（国家标准：≤2.5%） </w:t>
      </w:r>
    </w:p>
    <w:p w14:paraId="68FE31F0">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不完善粒≤3.5%（国家标准：≤4.0%） </w:t>
      </w:r>
    </w:p>
    <w:p w14:paraId="1FBD6808">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黄米粒按国家标准执行 。</w:t>
      </w:r>
    </w:p>
    <w:p w14:paraId="56416380">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③油类执行标准：SB/T 10292-1998</w:t>
      </w:r>
    </w:p>
    <w:p w14:paraId="7E5F3345">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④油类质量要求：</w:t>
      </w:r>
    </w:p>
    <w:p w14:paraId="02391DA0">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  霉变粒不得超过2％。 真菌毒素：黄曲霉毒素B1 （5μg/kg～20μg/kg）、脱氧雪腐镰刀菌烯醇（≤1000μg/kg）、玉米赤霉烯酮（≤60μg/kg）、赭曲霉毒素A（5μg/kg）。重金属污染物：铅（≤0.2mg/kg）、镉(0.1 mg/kg～0.2 mg/kg)、汞（0.02 mg/kg）、无机砷（0.1 mg/kg～0.2 mg/kg）。 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人将承担全部责任。</w:t>
      </w:r>
    </w:p>
    <w:p w14:paraId="2C1E33B7">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40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2．</w:t>
      </w:r>
      <w:r>
        <w:rPr>
          <w:rFonts w:hint="eastAsia" w:ascii="宋体" w:hAnsi="宋体" w:eastAsia="宋体" w:cs="宋体"/>
          <w:b/>
          <w:bCs/>
          <w:color w:val="auto"/>
          <w:sz w:val="21"/>
          <w:szCs w:val="21"/>
          <w:highlight w:val="none"/>
        </w:rPr>
        <w:t>副食品供应货品质量要求</w:t>
      </w:r>
    </w:p>
    <w:p w14:paraId="24B3FD22">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副食品须选用符合国家食品卫生法规相关标准的商品，选用无毒、无害、无污染、可朔源的食品。掺假、掺杂食品坚决不能使用。副食品表面外观新鲜、完整，无霉变异味，无砂粒杂质，无虫尸鼠粪等不洁卫生问题。奶制品色泽乳白，口味鲜香，包装完整，无破损，符合国家规定的质量卫生标准。</w:t>
      </w:r>
    </w:p>
    <w:p w14:paraId="6232E454">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副食品外包装清晰标注生产厂家名称、厂址、厂家电话号码、出厂日期、保质期限、产品成份等，并符合国家食品卫生标准，坚决杜绝假冒、变质、过期的产品（从收货之日起计算剩余保质期不得低于标注保质期的50%），供货时并提供QS认证、及产品相关的检验合格证书。</w:t>
      </w:r>
    </w:p>
    <w:p w14:paraId="1D484A26">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40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3．</w:t>
      </w:r>
      <w:r>
        <w:rPr>
          <w:rFonts w:hint="eastAsia" w:ascii="宋体" w:hAnsi="宋体" w:eastAsia="宋体" w:cs="宋体"/>
          <w:b/>
          <w:bCs/>
          <w:color w:val="auto"/>
          <w:sz w:val="21"/>
          <w:szCs w:val="21"/>
          <w:highlight w:val="none"/>
        </w:rPr>
        <w:t>干货</w:t>
      </w:r>
      <w:r>
        <w:rPr>
          <w:rFonts w:hint="eastAsia" w:ascii="宋体" w:hAnsi="宋体" w:eastAsia="宋体" w:cs="宋体"/>
          <w:b/>
          <w:bCs/>
          <w:color w:val="auto"/>
          <w:sz w:val="21"/>
          <w:szCs w:val="21"/>
          <w:highlight w:val="none"/>
          <w:lang w:val="en-US" w:eastAsia="zh-CN"/>
        </w:rPr>
        <w:t>类</w:t>
      </w:r>
      <w:r>
        <w:rPr>
          <w:rFonts w:hint="eastAsia" w:ascii="宋体" w:hAnsi="宋体" w:eastAsia="宋体" w:cs="宋体"/>
          <w:b/>
          <w:bCs/>
          <w:color w:val="auto"/>
          <w:sz w:val="21"/>
          <w:szCs w:val="21"/>
          <w:highlight w:val="none"/>
        </w:rPr>
        <w:t>：</w:t>
      </w:r>
    </w:p>
    <w:p w14:paraId="06210CEC">
      <w:pPr>
        <w:pStyle w:val="4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14:paraId="7C10A56B">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（1）干粉面、面粉类等质量标准要求</w:t>
      </w:r>
    </w:p>
    <w:p w14:paraId="4A447141">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1）包装要求：包装应清洁和卫生，无破漏。</w:t>
      </w:r>
    </w:p>
    <w:p w14:paraId="4ECFCEA0">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2）制作标准：符合GBT 23708-2009糕点质量检验标准要求。</w:t>
      </w:r>
    </w:p>
    <w:p w14:paraId="425F243D">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3）外观及口感标准：符合GB 7100-2015 糕点、饼干、面包卫生标准要求；符合GBT 7099-2015裱花蛋糕糕点卫生标准要求；符合QB 1252-91面包卫生标准要求。</w:t>
      </w:r>
    </w:p>
    <w:p w14:paraId="26A2EC21">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4）以上粉面、面粉类食品必须具有正常的色泽、气味和滋味，不得有酸败和霉变等杂味，食品内外不得有生虫、变质及其它污染物。</w:t>
      </w:r>
    </w:p>
    <w:p w14:paraId="65DDD481">
      <w:pPr>
        <w:keepNext w:val="0"/>
        <w:keepLines w:val="0"/>
        <w:pageBreakBefore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5）干米粉等以大米为原料，经浸泡、磨浆（粉碎）、发酵（或不发酵）、熟化、成型、冷却、包装等生产工艺加工而成，原辅料质量要求应符合国家相关质量标准及卫生安全标准，食品添加剂的使用应符合GB 2760-2014的规定,不得添加硼砂、亚硫酸盐、吊白块等有毒有害物质。</w:t>
      </w:r>
    </w:p>
    <w:p w14:paraId="5510F8F8">
      <w:pPr>
        <w:keepNext w:val="0"/>
        <w:keepLines w:val="0"/>
        <w:pageBreakBefore w:val="0"/>
        <w:widowControl w:val="0"/>
        <w:numPr>
          <w:ilvl w:val="0"/>
          <w:numId w:val="0"/>
        </w:numPr>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（二）</w:t>
      </w:r>
      <w:r>
        <w:rPr>
          <w:rFonts w:hint="eastAsia" w:ascii="宋体" w:hAnsi="宋体" w:eastAsia="宋体" w:cs="宋体"/>
          <w:b/>
          <w:color w:val="auto"/>
          <w:sz w:val="21"/>
          <w:szCs w:val="21"/>
          <w:highlight w:val="none"/>
        </w:rPr>
        <w:t>配送要求</w:t>
      </w:r>
    </w:p>
    <w:p w14:paraId="2E3FB22F">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14:paraId="1997480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2.容器要求清洁、干燥、牢固、透气，无污染、无异味、无霉变现象。</w:t>
      </w:r>
    </w:p>
    <w:p w14:paraId="641D5010">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3.冰鲜类水产品必须用专用冷藏、冷冻载具运输，保证运输过程冷链不中断，到达目的地时外包装箱干爽，无软化现象。</w:t>
      </w:r>
    </w:p>
    <w:p w14:paraId="6C5FFED0">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4.蔬菜应小心轻卸，严防机械损伤。</w:t>
      </w:r>
    </w:p>
    <w:p w14:paraId="3E3D555B">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5.中标人要免费提供运送及卸货服务。</w:t>
      </w:r>
    </w:p>
    <w:p w14:paraId="42714F07">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必须按照采购人要求的货品规格、数量、质量配送，如数量不足的，中标人应立即补足；如有10%以下（含10%）货品规格、质量不符合要求的，中标人应对不符合要求的货品进行更换；如有10%以上的货品规格、质量不符合要求的，由采购人选择整批退货或要求中标人按时整批更换。</w:t>
      </w:r>
    </w:p>
    <w:p w14:paraId="12FDDF3C">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（三）</w:t>
      </w:r>
      <w:r>
        <w:rPr>
          <w:rFonts w:hint="eastAsia" w:ascii="宋体" w:hAnsi="宋体" w:eastAsia="宋体" w:cs="宋体"/>
          <w:b/>
          <w:color w:val="auto"/>
          <w:sz w:val="21"/>
          <w:szCs w:val="21"/>
          <w:highlight w:val="none"/>
        </w:rPr>
        <w:t>中标人需设立自有检测室或有固定的送检机构，每种蔬菜每天都要随货提供农药残留的检测报告，食品检测人员或检测机构资料交采购人存档备查。</w:t>
      </w:r>
    </w:p>
    <w:p w14:paraId="0B95A209">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1.对食品安全质量问题的处理：</w:t>
      </w:r>
    </w:p>
    <w:p w14:paraId="0A0D5AF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(1)对危及人体健康的食品质量问题（如农药残留超标、腐烂变质等）采取零容忍措施，一经发现，当日所送同批次货品全部退货。</w:t>
      </w:r>
    </w:p>
    <w:p w14:paraId="374537E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(2)若验收时未发现问题，而在加工食用前发现部分货品质量有问题，采购人立即通知中标人，将问题货品作退换货处理。</w:t>
      </w:r>
    </w:p>
    <w:p w14:paraId="24B4E7AD">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(3)中标人所供应货品出现质量问题造成食品安全事故，经查实后属中标人责任的，中标人应承担全部责任和经济损失。</w:t>
      </w:r>
    </w:p>
    <w:p w14:paraId="66531496">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lang w:val="en-US" w:eastAsia="zh-CN" w:bidi="ar-SA"/>
        </w:rPr>
      </w:pPr>
    </w:p>
    <w:p w14:paraId="27429944">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二、</w:t>
      </w:r>
      <w:r>
        <w:rPr>
          <w:rFonts w:hint="eastAsia" w:ascii="宋体" w:hAnsi="宋体" w:eastAsia="宋体" w:cs="宋体"/>
          <w:b/>
          <w:bCs/>
          <w:color w:val="auto"/>
          <w:sz w:val="21"/>
          <w:szCs w:val="21"/>
          <w:highlight w:val="none"/>
        </w:rPr>
        <w:t>服务内容说明</w:t>
      </w:r>
    </w:p>
    <w:p w14:paraId="284A68F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应当根据采购人实际情况，按照与采购人的约定，在规定的时间内将预定的货物如数送到指定地点。除发生客观不可抗力的情况外，中标人不得推迟送货。如确需延迟送货的，中标人应在得知情况的同时告知采购人并征得采购人同意，由于中标人延迟造成采购人利益受损的，采购人有权要求中标人赔偿。</w:t>
      </w:r>
    </w:p>
    <w:p w14:paraId="76E4983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水产品类一般每天送货1-2次；蔬菜类一般每天送货1次，采购人在前一天确认采购订单；调味品类一般一个星期送货一次，采购人至少提前一天确认采购订单。每次订单不论数量多少，中标人都必须按采购人要求配送。对于临时性采购订单，中标人须积极配合，按照采购人要求按时、按质、按量将货品配送到指定地点。</w:t>
      </w:r>
    </w:p>
    <w:p w14:paraId="1E89D761">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3.配送时间：每天上午</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0前送达采购指定地点。如采购人需要临时增加补货，中标人必须在采购要求的时间内将货物保质保量送到采购人指定地点。具体配送时间以采购人实际要求为准。</w:t>
      </w:r>
    </w:p>
    <w:p w14:paraId="5D92E530">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4.中标人负责货品配送前的仓储，采购人不提供仓库。</w:t>
      </w:r>
    </w:p>
    <w:p w14:paraId="6CE3F55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.在采购人签收之前，货物的所有权和风险属于中标人，货物发生遗失、损坏由中标人负责。</w:t>
      </w:r>
    </w:p>
    <w:p w14:paraId="615F9E5D">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中标人须严格按照采购人的订单配送货品，不得随意增减数量或改变品种。如因市场流通问题确实需要变更供货内容的，中标人应在得知情况的同时书面告知采购人并征得采购人同意后方可变更，否则，采购人有权拒收，由此产生的一切损失和费用由中标人承担。</w:t>
      </w:r>
    </w:p>
    <w:p w14:paraId="0327C810">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.中标人不能按核定的供货价交付的某些货品、不能提供与其承诺相符的服务或中标人存在违反招标文件和合同的行为，并且不予纠正的，将取消其中标资格。此项下违约行为包括但不限于下列各项：</w:t>
      </w:r>
    </w:p>
    <w:p w14:paraId="55472FA9">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(1)中标人在收到采购人订货要求后，在承诺的供货时间内不能供货的。</w:t>
      </w:r>
    </w:p>
    <w:p w14:paraId="0F4A727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(2)中标人未能提供承诺的服务的。</w:t>
      </w:r>
    </w:p>
    <w:p w14:paraId="7ED7709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(3)中标人不能在约定时间内提供合法票据进行结算的。</w:t>
      </w:r>
    </w:p>
    <w:p w14:paraId="45DBE97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(4)中标人送货专员在采购人单位活动但不遵守采购人单位各项规章制度或做出有损采购人形象和利益的事情的。</w:t>
      </w:r>
    </w:p>
    <w:p w14:paraId="398CC76B">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(5)中标人泄露采购人的秘密的。如泄密行为造成采购人损失的，中标人将承担由此产生的一切损失和法律责任。</w:t>
      </w:r>
    </w:p>
    <w:p w14:paraId="5869E66A">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lang w:val="en-US" w:eastAsia="zh-CN" w:bidi="ar-SA"/>
        </w:rPr>
      </w:pPr>
    </w:p>
    <w:p w14:paraId="10B3E7E1">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三、</w:t>
      </w:r>
      <w:r>
        <w:rPr>
          <w:rFonts w:hint="eastAsia" w:ascii="宋体" w:hAnsi="宋体" w:eastAsia="宋体" w:cs="宋体"/>
          <w:b/>
          <w:bCs/>
          <w:color w:val="auto"/>
          <w:sz w:val="21"/>
          <w:szCs w:val="21"/>
          <w:highlight w:val="none"/>
        </w:rPr>
        <w:t>其他要求</w:t>
      </w:r>
    </w:p>
    <w:p w14:paraId="67AF129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1.中标人必须服从采购人的监督、管理，配合采购人到农场基地、食物配送点进行现场考察。</w:t>
      </w:r>
    </w:p>
    <w:p w14:paraId="588206C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2.食品供应链要求：所有食品的来源必须清晰可追溯和追责。</w:t>
      </w:r>
    </w:p>
    <w:p w14:paraId="54783525">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3.中标人需配合采购人要求，落实我市关于采购贫困地区农副产品的相关政策要求，通过贫困地区农副产品网络销售平台或定向扶贫地区采购贫困地区农副产品。</w:t>
      </w:r>
    </w:p>
    <w:p w14:paraId="290D9374">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lang w:val="en-US" w:eastAsia="zh-CN" w:bidi="ar-SA"/>
        </w:rPr>
      </w:pPr>
    </w:p>
    <w:p w14:paraId="21B32E2A">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四、</w:t>
      </w:r>
      <w:r>
        <w:rPr>
          <w:rFonts w:hint="eastAsia" w:ascii="宋体" w:hAnsi="宋体" w:eastAsia="宋体" w:cs="宋体"/>
          <w:b/>
          <w:bCs/>
          <w:color w:val="auto"/>
          <w:sz w:val="21"/>
          <w:szCs w:val="21"/>
          <w:highlight w:val="none"/>
        </w:rPr>
        <w:t>相关说明</w:t>
      </w:r>
    </w:p>
    <w:p w14:paraId="5083CEFD">
      <w:pPr>
        <w:pStyle w:val="2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服务年限内，履行本招标文件约定的义务过程中出现违反国家法律法规、相关主管部门规章制度、擅自提高价格或提供伪劣服务内容、服务质量低劣造成采购人损失等情况的，采购人有权视情节分别给予警告或取</w:t>
      </w:r>
      <w:r>
        <w:rPr>
          <w:rFonts w:hint="eastAsia" w:ascii="宋体" w:eastAsia="宋体" w:cs="宋体"/>
          <w:color w:val="auto"/>
          <w:sz w:val="21"/>
          <w:szCs w:val="21"/>
          <w:highlight w:val="none"/>
          <w:lang w:val="en-US" w:eastAsia="zh-CN"/>
        </w:rPr>
        <w:t>中标资格</w:t>
      </w:r>
      <w:r>
        <w:rPr>
          <w:rFonts w:hint="eastAsia" w:ascii="宋体" w:hAnsi="宋体" w:eastAsia="宋体" w:cs="宋体"/>
          <w:color w:val="auto"/>
          <w:sz w:val="21"/>
          <w:szCs w:val="21"/>
          <w:highlight w:val="none"/>
        </w:rPr>
        <w:t>等处罚。</w:t>
      </w:r>
    </w:p>
    <w:p w14:paraId="2C17414B">
      <w:pPr>
        <w:pStyle w:val="2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被取消配送服务资格而造成服务单位数量不能满足正常食堂食材配送工作需求的，或通过对该项目服务单位进行补充采购或重新采购的方式，以保证服务单位数量的正常需求。</w:t>
      </w:r>
    </w:p>
    <w:p w14:paraId="21A930D3">
      <w:pPr>
        <w:pStyle w:val="27"/>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必须清楚理解：采购人无法预计也无法保证服务单位所能获得的服务项目数量；对此服务单位不得向采购人追讨任何费用。</w:t>
      </w:r>
    </w:p>
    <w:p w14:paraId="31D4C4AA">
      <w:pPr>
        <w:rPr>
          <w:rFonts w:hint="eastAsia" w:ascii="宋体" w:hAnsi="宋体" w:eastAsia="宋体" w:cs="宋体"/>
          <w:color w:val="auto"/>
          <w:sz w:val="21"/>
          <w:szCs w:val="21"/>
          <w:highlight w:val="none"/>
        </w:rPr>
      </w:pPr>
    </w:p>
    <w:p w14:paraId="605D5702">
      <w:pPr>
        <w:autoSpaceDE w:val="0"/>
        <w:autoSpaceDN w:val="0"/>
        <w:spacing w:line="360" w:lineRule="auto"/>
        <w:ind w:left="632" w:right="565" w:rightChars="269" w:hanging="660" w:hangingChars="300"/>
        <w:rPr>
          <w:rFonts w:hint="eastAsia" w:ascii="宋体" w:hAnsi="宋体" w:cs="宋体"/>
          <w:color w:val="auto"/>
          <w:sz w:val="22"/>
          <w:highlight w:val="none"/>
        </w:rPr>
      </w:pPr>
    </w:p>
    <w:p w14:paraId="282D2E24">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6ABB83BC">
      <w:pPr>
        <w:pStyle w:val="8"/>
        <w:spacing w:before="0" w:line="360" w:lineRule="auto"/>
        <w:ind w:left="638" w:leftChars="304"/>
        <w:rPr>
          <w:b/>
          <w:bCs/>
          <w:color w:val="auto"/>
          <w:kern w:val="0"/>
          <w:sz w:val="21"/>
          <w:szCs w:val="21"/>
          <w:highlight w:val="none"/>
        </w:rPr>
      </w:pPr>
      <w:r>
        <w:rPr>
          <w:rFonts w:hint="eastAsia"/>
          <w:b/>
          <w:bCs/>
          <w:color w:val="auto"/>
          <w:kern w:val="0"/>
          <w:sz w:val="21"/>
          <w:szCs w:val="21"/>
          <w:highlight w:val="none"/>
          <w:lang w:val="en-US"/>
        </w:rPr>
        <w:t>2、</w:t>
      </w:r>
      <w:r>
        <w:rPr>
          <w:rFonts w:hint="eastAsia"/>
          <w:b/>
          <w:bCs/>
          <w:color w:val="auto"/>
          <w:kern w:val="0"/>
          <w:sz w:val="21"/>
          <w:szCs w:val="21"/>
          <w:highlight w:val="none"/>
        </w:rPr>
        <w:t>打“▲”号条款为重要技术参数（如有），若有部分“▲”条款未响应或不满足，将根据评审要求影响其得分，但不作为无效投标（响应）条款。</w:t>
      </w:r>
    </w:p>
    <w:p w14:paraId="55B748B8">
      <w:pPr>
        <w:rPr>
          <w:color w:val="auto"/>
          <w:highlight w:val="none"/>
        </w:rPr>
      </w:pPr>
      <w:bookmarkStart w:id="144" w:name="_Toc28584"/>
      <w:r>
        <w:rPr>
          <w:rFonts w:hint="eastAsia"/>
          <w:color w:val="auto"/>
          <w:highlight w:val="none"/>
        </w:rPr>
        <w:br w:type="page"/>
      </w:r>
    </w:p>
    <w:p w14:paraId="0347DD82">
      <w:pPr>
        <w:pStyle w:val="3"/>
        <w:numPr>
          <w:ilvl w:val="0"/>
          <w:numId w:val="1"/>
        </w:numPr>
        <w:rPr>
          <w:color w:val="auto"/>
          <w:highlight w:val="none"/>
        </w:rPr>
      </w:pPr>
      <w:r>
        <w:rPr>
          <w:rFonts w:hint="eastAsia"/>
          <w:color w:val="auto"/>
          <w:highlight w:val="none"/>
        </w:rPr>
        <w:t>详细评审</w:t>
      </w:r>
      <w:bookmarkEnd w:id="144"/>
      <w:r>
        <w:rPr>
          <w:rFonts w:hint="eastAsia"/>
          <w:color w:val="auto"/>
          <w:highlight w:val="none"/>
          <w:lang w:eastAsia="zh-CN"/>
        </w:rPr>
        <w:t>（</w:t>
      </w:r>
      <w:r>
        <w:rPr>
          <w:rFonts w:hint="eastAsia"/>
          <w:color w:val="auto"/>
          <w:highlight w:val="none"/>
          <w:lang w:val="en-US" w:eastAsia="zh-CN"/>
        </w:rPr>
        <w:t>适用于所有包组</w:t>
      </w:r>
      <w:r>
        <w:rPr>
          <w:rFonts w:hint="eastAsia"/>
          <w:color w:val="auto"/>
          <w:highlight w:val="none"/>
          <w:lang w:eastAsia="zh-CN"/>
        </w:rPr>
        <w:t>）</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2F5C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75FD249">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vAlign w:val="center"/>
          </w:tcPr>
          <w:p w14:paraId="4462CB1E">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380A728C">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vAlign w:val="center"/>
          </w:tcPr>
          <w:p w14:paraId="32998C50">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362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0947E5A1">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30分</w:t>
            </w:r>
            <w:r>
              <w:rPr>
                <w:rFonts w:hint="eastAsia" w:ascii="宋体" w:hAnsi="宋体" w:eastAsia="宋体" w:cs="宋体"/>
                <w:b/>
                <w:bCs/>
                <w:color w:val="auto"/>
                <w:sz w:val="21"/>
                <w:szCs w:val="21"/>
                <w:highlight w:val="none"/>
                <w:lang w:eastAsia="zh-CN"/>
              </w:rPr>
              <w:t>）</w:t>
            </w:r>
          </w:p>
        </w:tc>
      </w:tr>
      <w:tr w14:paraId="5526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690" w:type="dxa"/>
            <w:tcBorders>
              <w:top w:val="single" w:color="auto" w:sz="4" w:space="0"/>
              <w:left w:val="single" w:color="auto" w:sz="4" w:space="0"/>
              <w:right w:val="single" w:color="auto" w:sz="4" w:space="0"/>
            </w:tcBorders>
            <w:vAlign w:val="center"/>
          </w:tcPr>
          <w:p w14:paraId="310971AB">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right w:val="single" w:color="auto" w:sz="4" w:space="0"/>
            </w:tcBorders>
            <w:shd w:val="clear" w:color="auto" w:fill="auto"/>
            <w:vAlign w:val="center"/>
          </w:tcPr>
          <w:p w14:paraId="35FAE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bidi="ar-SA"/>
              </w:rPr>
            </w:pPr>
            <w:r>
              <w:rPr>
                <w:color w:val="auto"/>
                <w:sz w:val="21"/>
                <w:szCs w:val="21"/>
                <w:highlight w:val="none"/>
                <w:shd w:val="clear" w:color="auto" w:fill="auto"/>
              </w:rPr>
              <w:t>管理体系认证</w:t>
            </w:r>
          </w:p>
        </w:tc>
        <w:tc>
          <w:tcPr>
            <w:tcW w:w="7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A65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10分</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5C79DD8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投标人具备有效期内的以下管理体系认证证书，最高得10分，无不得分。</w:t>
            </w:r>
          </w:p>
          <w:p w14:paraId="2B5B23F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（1）质量管理体系认证证书，2分；</w:t>
            </w:r>
          </w:p>
          <w:p w14:paraId="178A268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（2）环境安全管理体系认证证书，2分；</w:t>
            </w:r>
          </w:p>
          <w:p w14:paraId="746C98E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（3）职业健康安全管理体系认证证书，2分；</w:t>
            </w:r>
          </w:p>
          <w:p w14:paraId="2CE5630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（4）食品安全管理体系认证证书，2分；</w:t>
            </w:r>
          </w:p>
          <w:p w14:paraId="68CB77A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（5）危害分析与关键控制点（HACCP）体系认证证书，2分；</w:t>
            </w:r>
          </w:p>
          <w:p w14:paraId="072A9243">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bCs/>
                <w:color w:val="auto"/>
                <w:sz w:val="21"/>
                <w:szCs w:val="21"/>
                <w:highlight w:val="none"/>
                <w:lang w:val="zh-CN" w:eastAsia="zh-CN" w:bidi="ar-SA"/>
              </w:rPr>
            </w:pPr>
            <w:r>
              <w:rPr>
                <w:rFonts w:ascii="宋体" w:hAnsi="宋体" w:eastAsia="宋体"/>
                <w:b/>
                <w:color w:val="auto"/>
                <w:szCs w:val="21"/>
                <w:highlight w:val="none"/>
              </w:rPr>
              <w:t>注：须提供在有效期内的证书及证书在全国认证认可信息公共服务平台（www.cnca.cn）有效信息查询截图，以上复印件加盖</w:t>
            </w:r>
            <w:r>
              <w:rPr>
                <w:rFonts w:hint="eastAsia" w:ascii="宋体" w:hAnsi="宋体"/>
                <w:b/>
                <w:color w:val="auto"/>
                <w:szCs w:val="21"/>
                <w:highlight w:val="none"/>
                <w:lang w:eastAsia="zh-CN"/>
              </w:rPr>
              <w:t>供应商</w:t>
            </w:r>
            <w:r>
              <w:rPr>
                <w:rFonts w:ascii="宋体" w:hAnsi="宋体" w:eastAsia="宋体"/>
                <w:b/>
                <w:color w:val="auto"/>
                <w:szCs w:val="21"/>
                <w:highlight w:val="none"/>
              </w:rPr>
              <w:t>公章。</w:t>
            </w:r>
            <w:r>
              <w:rPr>
                <w:rFonts w:hint="eastAsia" w:ascii="宋体" w:hAnsi="宋体" w:eastAsia="宋体"/>
                <w:b/>
                <w:color w:val="auto"/>
                <w:szCs w:val="21"/>
                <w:highlight w:val="none"/>
              </w:rPr>
              <w:t>如因企业成立不足三个月无法获得上述证书的，提供说明和承诺</w:t>
            </w:r>
            <w:r>
              <w:rPr>
                <w:rFonts w:hint="eastAsia" w:ascii="宋体" w:hAnsi="宋体" w:eastAsia="宋体"/>
                <w:b/>
                <w:color w:val="auto"/>
                <w:szCs w:val="21"/>
                <w:highlight w:val="none"/>
                <w:lang w:eastAsia="zh-CN"/>
              </w:rPr>
              <w:t>（</w:t>
            </w:r>
            <w:r>
              <w:rPr>
                <w:rFonts w:hint="eastAsia" w:ascii="宋体" w:hAnsi="宋体" w:eastAsia="宋体"/>
                <w:b/>
                <w:color w:val="auto"/>
                <w:szCs w:val="21"/>
                <w:highlight w:val="none"/>
                <w:lang w:val="en-US" w:eastAsia="zh-CN"/>
              </w:rPr>
              <w:t>格式自拟）</w:t>
            </w:r>
            <w:r>
              <w:rPr>
                <w:rFonts w:hint="eastAsia" w:ascii="宋体" w:hAnsi="宋体" w:eastAsia="宋体"/>
                <w:b/>
                <w:color w:val="auto"/>
                <w:szCs w:val="21"/>
                <w:highlight w:val="none"/>
              </w:rPr>
              <w:t>可视为得分。</w:t>
            </w:r>
          </w:p>
        </w:tc>
      </w:tr>
      <w:tr w14:paraId="0525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690" w:type="dxa"/>
            <w:tcBorders>
              <w:top w:val="single" w:color="auto" w:sz="4" w:space="0"/>
              <w:left w:val="single" w:color="auto" w:sz="4" w:space="0"/>
              <w:right w:val="single" w:color="auto" w:sz="4" w:space="0"/>
            </w:tcBorders>
            <w:vAlign w:val="center"/>
          </w:tcPr>
          <w:p w14:paraId="56E4CACB">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shd w:val="clear" w:color="auto" w:fill="auto"/>
            <w:vAlign w:val="center"/>
          </w:tcPr>
          <w:p w14:paraId="7CB19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业绩情况</w:t>
            </w:r>
          </w:p>
        </w:tc>
        <w:tc>
          <w:tcPr>
            <w:tcW w:w="7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6BD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15分</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70B0E2D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投标人承接的项目业绩包含食材配送服务内容的，每提供一个业绩得</w:t>
            </w: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zh-CN"/>
              </w:rPr>
              <w:t>分，本项最高得</w:t>
            </w:r>
            <w:r>
              <w:rPr>
                <w:rFonts w:hint="eastAsia" w:ascii="宋体" w:hAnsi="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分。</w:t>
            </w:r>
          </w:p>
          <w:p w14:paraId="2DDC95A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rPr>
              <w:t>注：须提供合同复印件并加盖公章，提供的合同复印件不全、不清晰、未提供或无法判断内容的，不得分。</w:t>
            </w:r>
          </w:p>
        </w:tc>
      </w:tr>
      <w:tr w14:paraId="217B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460FE37">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vAlign w:val="center"/>
          </w:tcPr>
          <w:p w14:paraId="1EC8ADC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服务便利性</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7118316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0368B70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eastAsia="zh-CN"/>
              </w:rPr>
            </w:pPr>
            <w:r>
              <w:rPr>
                <w:rFonts w:hint="eastAsia" w:ascii="宋体" w:hAnsi="宋体" w:eastAsia="宋体" w:cs="宋体"/>
                <w:bCs/>
                <w:color w:val="auto"/>
                <w:sz w:val="21"/>
                <w:szCs w:val="21"/>
                <w:highlight w:val="none"/>
                <w:lang w:val="pt-BR"/>
              </w:rPr>
              <w:t>根据投标人提供的服务响应时间承诺进行</w:t>
            </w:r>
            <w:r>
              <w:rPr>
                <w:rFonts w:hint="eastAsia" w:ascii="宋体" w:hAnsi="宋体" w:eastAsia="宋体" w:cs="宋体"/>
                <w:bCs/>
                <w:color w:val="auto"/>
                <w:sz w:val="21"/>
                <w:szCs w:val="21"/>
                <w:highlight w:val="none"/>
                <w:lang w:val="pt-BR" w:eastAsia="zh-CN"/>
              </w:rPr>
              <w:t>评审：</w:t>
            </w:r>
          </w:p>
          <w:p w14:paraId="0936D8B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（1）投标人承诺在接到采购人通知后</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内到现场，得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pt-BR"/>
              </w:rPr>
              <w:t>分；</w:t>
            </w:r>
          </w:p>
          <w:p w14:paraId="4A5852F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（2）投标人承诺在接到采购人通知后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内到现场，得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pt-BR"/>
              </w:rPr>
              <w:t>分；</w:t>
            </w:r>
          </w:p>
          <w:p w14:paraId="5175D3E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（3）投标人承诺在接到采购人通知后</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内到现场，得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pt-BR"/>
              </w:rPr>
              <w:t>分；</w:t>
            </w:r>
          </w:p>
          <w:p w14:paraId="2CA3D5C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（4）投标人未承诺或承诺在接到采购人通知后超过</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不含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到现场，不得分。</w:t>
            </w:r>
          </w:p>
          <w:p w14:paraId="1208FAB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pt-BR"/>
              </w:rPr>
              <w:t>注：须提供服务承诺书并加盖投标人公章，否则不得分。</w:t>
            </w:r>
          </w:p>
        </w:tc>
      </w:tr>
      <w:tr w14:paraId="0D57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67DEF492">
            <w:pPr>
              <w:pStyle w:val="2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60分</w:t>
            </w:r>
            <w:r>
              <w:rPr>
                <w:rFonts w:hint="eastAsia" w:ascii="宋体" w:hAnsi="宋体" w:eastAsia="宋体" w:cs="宋体"/>
                <w:b/>
                <w:bCs/>
                <w:color w:val="auto"/>
                <w:sz w:val="21"/>
                <w:szCs w:val="21"/>
                <w:highlight w:val="none"/>
                <w:lang w:eastAsia="zh-CN"/>
              </w:rPr>
              <w:t>）</w:t>
            </w:r>
          </w:p>
        </w:tc>
      </w:tr>
      <w:tr w14:paraId="0D49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D4F11B3">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vAlign w:val="center"/>
          </w:tcPr>
          <w:p w14:paraId="7DF92B2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对项目重点难点分析</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0395F5D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r>
              <w:rPr>
                <w:rFonts w:hint="eastAsia" w:ascii="宋体" w:hAnsi="宋体" w:cs="宋体"/>
                <w:bCs/>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A45A01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根据投标人对</w:t>
            </w:r>
            <w:r>
              <w:rPr>
                <w:rFonts w:hint="eastAsia" w:ascii="宋体" w:hAnsi="宋体" w:eastAsia="宋体" w:cs="宋体"/>
                <w:color w:val="auto"/>
                <w:kern w:val="2"/>
                <w:sz w:val="21"/>
                <w:szCs w:val="21"/>
                <w:highlight w:val="none"/>
              </w:rPr>
              <w:t>项目重点难点分析</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详细、透彻</w:t>
            </w:r>
            <w:r>
              <w:rPr>
                <w:rFonts w:hint="eastAsia" w:ascii="宋体" w:hAnsi="宋体" w:eastAsia="宋体" w:cs="宋体"/>
                <w:color w:val="auto"/>
                <w:kern w:val="2"/>
                <w:sz w:val="21"/>
                <w:szCs w:val="21"/>
                <w:highlight w:val="none"/>
                <w:lang w:val="en-US" w:eastAsia="zh-CN"/>
              </w:rPr>
              <w:t>程度及能否</w:t>
            </w:r>
            <w:r>
              <w:rPr>
                <w:rFonts w:hint="eastAsia" w:ascii="宋体" w:hAnsi="宋体" w:eastAsia="宋体" w:cs="宋体"/>
                <w:color w:val="auto"/>
                <w:kern w:val="2"/>
                <w:sz w:val="21"/>
                <w:szCs w:val="21"/>
                <w:highlight w:val="none"/>
              </w:rPr>
              <w:t>结合本项目实际情况</w:t>
            </w:r>
            <w:r>
              <w:rPr>
                <w:rFonts w:hint="eastAsia" w:ascii="宋体" w:hAnsi="宋体" w:eastAsia="宋体" w:cs="宋体"/>
                <w:color w:val="auto"/>
                <w:kern w:val="2"/>
                <w:sz w:val="21"/>
                <w:szCs w:val="21"/>
                <w:highlight w:val="none"/>
                <w:lang w:val="en-US" w:eastAsia="zh-CN"/>
              </w:rPr>
              <w:t>分析等情况进行综合评审：</w:t>
            </w:r>
          </w:p>
          <w:p w14:paraId="71947E9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1)对本项目重点难点分析详细、透彻，能结合本项目实际情况分析，科学、合理的，得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0D86969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2)对本项目重点难点分析较详细、透彻，能结合本项目实际情况分析，较科学、合理的，得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207F437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)对本项目重点难点分析</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详细、透彻，能结合本项目实际情况分析，合理</w:t>
            </w:r>
            <w:r>
              <w:rPr>
                <w:rFonts w:hint="eastAsia" w:ascii="宋体" w:hAnsi="宋体" w:eastAsia="宋体" w:cs="宋体"/>
                <w:color w:val="auto"/>
                <w:kern w:val="2"/>
                <w:sz w:val="21"/>
                <w:szCs w:val="21"/>
                <w:highlight w:val="none"/>
                <w:lang w:val="en-US" w:eastAsia="zh-CN"/>
              </w:rPr>
              <w:t>性一般</w:t>
            </w:r>
            <w:r>
              <w:rPr>
                <w:rFonts w:hint="eastAsia" w:ascii="宋体" w:hAnsi="宋体" w:eastAsia="宋体" w:cs="宋体"/>
                <w:color w:val="auto"/>
                <w:kern w:val="2"/>
                <w:sz w:val="21"/>
                <w:szCs w:val="21"/>
                <w:highlight w:val="none"/>
              </w:rPr>
              <w:t>的，得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14:paraId="43AD15B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)对本项目重点难点分析不详细，不能结合本项目实际情况分析，缺乏科学合理性的，得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14:paraId="2059C88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5)其他或无响应，得0分。</w:t>
            </w:r>
          </w:p>
        </w:tc>
      </w:tr>
      <w:tr w14:paraId="016A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35C56E8">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vAlign w:val="center"/>
          </w:tcPr>
          <w:p w14:paraId="2226B8F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投标产品的质量保证和食品安全保障措施方案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0B94EDE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15</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5434B18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根据投标人对</w:t>
            </w:r>
            <w:r>
              <w:rPr>
                <w:rFonts w:hint="eastAsia" w:ascii="宋体" w:hAnsi="宋体" w:eastAsia="宋体" w:cs="宋体"/>
                <w:bCs/>
                <w:color w:val="auto"/>
                <w:kern w:val="2"/>
                <w:sz w:val="21"/>
                <w:szCs w:val="21"/>
                <w:highlight w:val="none"/>
              </w:rPr>
              <w:t>投标产品的质量保证和食品安全保障措施方案</w:t>
            </w:r>
            <w:r>
              <w:rPr>
                <w:rFonts w:hint="eastAsia" w:ascii="宋体" w:hAnsi="宋体" w:eastAsia="宋体" w:cs="宋体"/>
                <w:bCs/>
                <w:color w:val="auto"/>
                <w:kern w:val="2"/>
                <w:sz w:val="21"/>
                <w:szCs w:val="21"/>
                <w:highlight w:val="none"/>
                <w:lang w:val="en-US" w:eastAsia="zh-CN"/>
              </w:rPr>
              <w:t>进行综合评审：</w:t>
            </w:r>
          </w:p>
          <w:p w14:paraId="069CF4D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1)投标产品的来源回溯、运储、仓储各环节的质量保证及食品安全保障措施完整、科学、合理的得</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p w14:paraId="0607DA1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2)投标产品的来源回溯、运储、仓储各环节的质量保证及食品安全保障措施</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完整、较科学、</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合理的得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42E4FDF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3)投标产品的来源回溯、运储、仓储各环节的质量保证及食品安全保障措施基本完整、基本科学、</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合理的得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p w14:paraId="1BBD0B0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4)投标产品的来源回溯、运储、仓储各环节的质量保证及食品安全保障措施不完整、缺乏科学合理性的得1分；</w:t>
            </w:r>
          </w:p>
          <w:p w14:paraId="45F6C73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rPr>
              <w:t>5)其他或无响应，得0分。</w:t>
            </w:r>
          </w:p>
        </w:tc>
      </w:tr>
      <w:tr w14:paraId="03AA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2E4CF70">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vAlign w:val="center"/>
          </w:tcPr>
          <w:p w14:paraId="055CC59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配送服务方案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36FA824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cs="宋体"/>
                <w:bCs/>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86A5D8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根据投标人提供的</w:t>
            </w:r>
            <w:r>
              <w:rPr>
                <w:rFonts w:hint="eastAsia" w:ascii="宋体" w:hAnsi="宋体" w:eastAsia="宋体" w:cs="宋体"/>
                <w:color w:val="auto"/>
                <w:kern w:val="2"/>
                <w:sz w:val="21"/>
                <w:szCs w:val="21"/>
                <w:highlight w:val="none"/>
              </w:rPr>
              <w:t>配送服务方案</w:t>
            </w:r>
            <w:r>
              <w:rPr>
                <w:rFonts w:hint="eastAsia" w:ascii="宋体" w:hAnsi="宋体" w:eastAsia="宋体" w:cs="宋体"/>
                <w:color w:val="auto"/>
                <w:kern w:val="2"/>
                <w:sz w:val="21"/>
                <w:szCs w:val="21"/>
                <w:highlight w:val="none"/>
                <w:lang w:val="en-US" w:eastAsia="zh-CN"/>
              </w:rPr>
              <w:t>进行综合评审：</w:t>
            </w:r>
          </w:p>
          <w:p w14:paraId="2CBF141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1)方案内容完整、详细、表述清晰、科学合理、切实可行，得</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p w14:paraId="4620F05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2)方案内容较完整、</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详细、表述较清晰、合理可行，得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6C8EAD5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3)方案内容基本完整、表述基本清晰、基本合理可行，得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p w14:paraId="1C54870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4)方案内容不完整、表述不清晰、缺乏合理性，得1分；</w:t>
            </w:r>
          </w:p>
          <w:p w14:paraId="585D9CB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rPr>
              <w:t>5)其他或无响应，得0分。</w:t>
            </w:r>
          </w:p>
        </w:tc>
      </w:tr>
      <w:tr w14:paraId="625E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58F62D2">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vAlign w:val="center"/>
          </w:tcPr>
          <w:p w14:paraId="078BCF1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出现产品质量问题退换货方案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4173DE9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A8198D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val="en-US" w:eastAsia="zh-CN"/>
              </w:rPr>
              <w:t>投标人提供</w:t>
            </w:r>
            <w:r>
              <w:rPr>
                <w:rFonts w:hint="eastAsia" w:ascii="宋体" w:hAnsi="宋体" w:eastAsia="宋体" w:cs="宋体"/>
                <w:color w:val="auto"/>
                <w:kern w:val="2"/>
                <w:sz w:val="21"/>
                <w:szCs w:val="21"/>
                <w:highlight w:val="none"/>
              </w:rPr>
              <w:t>的退换方案（包含：退换流程）及措施进行</w:t>
            </w:r>
            <w:r>
              <w:rPr>
                <w:rFonts w:hint="eastAsia" w:ascii="宋体" w:hAnsi="宋体" w:eastAsia="宋体" w:cs="宋体"/>
                <w:color w:val="auto"/>
                <w:kern w:val="2"/>
                <w:sz w:val="21"/>
                <w:szCs w:val="21"/>
                <w:highlight w:val="none"/>
                <w:lang w:val="en-US" w:eastAsia="zh-CN"/>
              </w:rPr>
              <w:t>综合评审</w:t>
            </w:r>
            <w:r>
              <w:rPr>
                <w:rFonts w:hint="eastAsia" w:ascii="宋体" w:hAnsi="宋体" w:eastAsia="宋体" w:cs="宋体"/>
                <w:color w:val="auto"/>
                <w:kern w:val="2"/>
                <w:sz w:val="21"/>
                <w:szCs w:val="21"/>
                <w:highlight w:val="none"/>
              </w:rPr>
              <w:t>：</w:t>
            </w:r>
          </w:p>
          <w:p w14:paraId="33E1B0D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退换货方案全面、详细具体、流程科学（合理）、退换货周期快速，得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3B22E9F1">
            <w:pPr>
              <w:keepNext w:val="0"/>
              <w:keepLines w:val="0"/>
              <w:pageBreakBefore w:val="0"/>
              <w:widowControl w:val="0"/>
              <w:numPr>
                <w:ilvl w:val="-1"/>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)退换货方案</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全面、</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具体、流程</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合理、退换货周期快速，得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450C42E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)退换货方案不够全面、简略一般、流程基本合理、退换货周期一般，得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14:paraId="4DCDBE6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)退换货方案存在重大缺陷、流程具有重大漏洞的、退换货周期慢，得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14:paraId="334750A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)其他或无响应，得0分。</w:t>
            </w:r>
          </w:p>
        </w:tc>
      </w:tr>
      <w:tr w14:paraId="6633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D94FAD8">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07" w:type="dxa"/>
            <w:tcBorders>
              <w:top w:val="single" w:color="auto" w:sz="4" w:space="0"/>
              <w:left w:val="single" w:color="auto" w:sz="4" w:space="0"/>
              <w:bottom w:val="single" w:color="auto" w:sz="4" w:space="0"/>
              <w:right w:val="single" w:color="auto" w:sz="4" w:space="0"/>
            </w:tcBorders>
            <w:vAlign w:val="center"/>
          </w:tcPr>
          <w:p w14:paraId="26A0B3A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突发事件的应急响应方案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2162D21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10</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12B1DF7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提供</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项目实施应急服务预案</w:t>
            </w:r>
            <w:r>
              <w:rPr>
                <w:rFonts w:hint="eastAsia" w:ascii="宋体" w:hAnsi="宋体" w:eastAsia="宋体" w:cs="宋体"/>
                <w:color w:val="auto"/>
                <w:kern w:val="2"/>
                <w:sz w:val="21"/>
                <w:szCs w:val="21"/>
                <w:highlight w:val="none"/>
                <w:lang w:val="en-US" w:eastAsia="zh-CN"/>
              </w:rPr>
              <w:t>进行综合评审</w:t>
            </w:r>
            <w:r>
              <w:rPr>
                <w:rFonts w:hint="eastAsia" w:ascii="宋体" w:hAnsi="宋体" w:eastAsia="宋体" w:cs="宋体"/>
                <w:color w:val="auto"/>
                <w:kern w:val="2"/>
                <w:sz w:val="21"/>
                <w:szCs w:val="21"/>
                <w:highlight w:val="none"/>
              </w:rPr>
              <w:t>：</w:t>
            </w:r>
          </w:p>
          <w:p w14:paraId="7960991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针对本项目拟定的突发事件的处理措施和应急预案全面、科学、合理、可行且详细的，得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1EC0D04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)针对本项目拟定的突发事件的处理措施和应急预案</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全面、</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合理、</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可行的，得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4701982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)针对本项目拟定的突发事件的处理措施和应急预案</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全面、</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合理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可行的，得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14:paraId="177B148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)针对本项目拟定的突发事件的处理措施和应急预案不全面、</w:t>
            </w:r>
            <w:r>
              <w:rPr>
                <w:rFonts w:hint="eastAsia" w:ascii="宋体" w:hAnsi="宋体" w:eastAsia="宋体" w:cs="宋体"/>
                <w:color w:val="auto"/>
                <w:kern w:val="2"/>
                <w:sz w:val="21"/>
                <w:szCs w:val="21"/>
                <w:highlight w:val="none"/>
                <w:lang w:val="en-US" w:eastAsia="zh-CN"/>
              </w:rPr>
              <w:t>不</w:t>
            </w:r>
            <w:r>
              <w:rPr>
                <w:rFonts w:hint="eastAsia" w:ascii="宋体" w:hAnsi="宋体" w:eastAsia="宋体" w:cs="宋体"/>
                <w:color w:val="auto"/>
                <w:kern w:val="2"/>
                <w:sz w:val="21"/>
                <w:szCs w:val="21"/>
                <w:highlight w:val="none"/>
              </w:rPr>
              <w:t>合理的，得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14:paraId="3EAD767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)其他或无响应，得0分。</w:t>
            </w:r>
          </w:p>
        </w:tc>
      </w:tr>
      <w:tr w14:paraId="6E42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17B63ACF">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02A49B86">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（1）无特殊说明外，以上评审项，同一证明文件不重复计分。</w:t>
            </w:r>
          </w:p>
          <w:p w14:paraId="1023E0A3">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（2）投标人根据以上评分要求提供的</w:t>
            </w:r>
            <w:r>
              <w:rPr>
                <w:rFonts w:hint="eastAsia" w:ascii="宋体" w:hAnsi="宋体" w:eastAsia="宋体" w:cs="宋体"/>
                <w:b/>
                <w:color w:val="auto"/>
                <w:sz w:val="21"/>
                <w:szCs w:val="21"/>
                <w:highlight w:val="none"/>
                <w:lang w:eastAsia="zh-CN"/>
              </w:rPr>
              <w:t>投标材料</w:t>
            </w:r>
            <w:r>
              <w:rPr>
                <w:rFonts w:hint="eastAsia" w:ascii="宋体" w:hAnsi="宋体" w:eastAsia="宋体" w:cs="宋体"/>
                <w:b/>
                <w:color w:val="auto"/>
                <w:sz w:val="21"/>
                <w:szCs w:val="21"/>
                <w:highlight w:val="none"/>
              </w:rPr>
              <w:t>因模糊不清导致评标委员会无法清晰辨认进行评审的，</w:t>
            </w:r>
            <w:r>
              <w:rPr>
                <w:rFonts w:hint="eastAsia" w:ascii="宋体" w:hAnsi="宋体" w:eastAsia="宋体" w:cs="宋体"/>
                <w:b/>
                <w:color w:val="auto"/>
                <w:sz w:val="21"/>
                <w:szCs w:val="21"/>
                <w:highlight w:val="none"/>
                <w:lang w:eastAsia="zh-CN"/>
              </w:rPr>
              <w:t>视为无效材料</w:t>
            </w:r>
            <w:r>
              <w:rPr>
                <w:rFonts w:hint="eastAsia" w:ascii="宋体" w:hAnsi="宋体" w:eastAsia="宋体" w:cs="宋体"/>
                <w:b/>
                <w:color w:val="auto"/>
                <w:sz w:val="21"/>
                <w:szCs w:val="21"/>
                <w:highlight w:val="none"/>
              </w:rPr>
              <w:t>。</w:t>
            </w:r>
          </w:p>
        </w:tc>
      </w:tr>
      <w:tr w14:paraId="6533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61310911">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rPr>
              <w:t>价格评审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10分</w:t>
            </w:r>
            <w:r>
              <w:rPr>
                <w:rFonts w:hint="eastAsia" w:ascii="宋体" w:hAnsi="宋体" w:eastAsia="宋体" w:cs="宋体"/>
                <w:b/>
                <w:bCs/>
                <w:color w:val="auto"/>
                <w:sz w:val="21"/>
                <w:szCs w:val="21"/>
                <w:highlight w:val="none"/>
                <w:lang w:eastAsia="zh-CN"/>
              </w:rPr>
              <w:t>）</w:t>
            </w:r>
          </w:p>
        </w:tc>
      </w:tr>
      <w:tr w14:paraId="7509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747C200">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729D30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投标</w:t>
            </w:r>
            <w:r>
              <w:rPr>
                <w:rFonts w:hint="eastAsia" w:ascii="宋体" w:hAnsi="宋体" w:cs="宋体"/>
                <w:color w:val="auto"/>
                <w:kern w:val="2"/>
                <w:sz w:val="21"/>
                <w:szCs w:val="21"/>
                <w:highlight w:val="none"/>
                <w:lang w:val="en-US" w:eastAsia="zh-CN"/>
              </w:rPr>
              <w:t>下浮率</w:t>
            </w:r>
          </w:p>
        </w:tc>
        <w:tc>
          <w:tcPr>
            <w:tcW w:w="734" w:type="dxa"/>
            <w:tcBorders>
              <w:top w:val="single" w:color="auto" w:sz="4" w:space="0"/>
              <w:left w:val="single" w:color="auto" w:sz="4" w:space="0"/>
              <w:bottom w:val="single" w:color="auto" w:sz="4" w:space="0"/>
              <w:right w:val="single" w:color="auto" w:sz="4" w:space="0"/>
            </w:tcBorders>
            <w:vAlign w:val="center"/>
          </w:tcPr>
          <w:p w14:paraId="36F820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10</w:t>
            </w:r>
            <w:r>
              <w:rPr>
                <w:rFonts w:hint="eastAsia" w:ascii="宋体" w:hAnsi="宋体" w:cs="宋体"/>
                <w:color w:val="auto"/>
                <w:kern w:val="2"/>
                <w:sz w:val="21"/>
                <w:szCs w:val="21"/>
                <w:highlight w:val="none"/>
                <w:lang w:eastAsia="zh-CN"/>
              </w:rPr>
              <w:t>分</w:t>
            </w:r>
          </w:p>
        </w:tc>
        <w:tc>
          <w:tcPr>
            <w:tcW w:w="5488" w:type="dxa"/>
            <w:gridSpan w:val="2"/>
            <w:tcBorders>
              <w:top w:val="single" w:color="auto" w:sz="4" w:space="0"/>
              <w:left w:val="single" w:color="auto" w:sz="4" w:space="0"/>
              <w:bottom w:val="single" w:color="auto" w:sz="4" w:space="0"/>
              <w:right w:val="single" w:color="auto" w:sz="4" w:space="0"/>
            </w:tcBorders>
            <w:vAlign w:val="center"/>
          </w:tcPr>
          <w:p w14:paraId="1CDFDD4E">
            <w:pPr>
              <w:pStyle w:val="2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eastAsia="宋体" w:cs="宋体"/>
                <w:bCs/>
                <w:color w:val="auto"/>
                <w:sz w:val="21"/>
                <w:szCs w:val="21"/>
                <w:highlight w:val="none"/>
                <w:lang w:val="zh-CN"/>
              </w:rPr>
            </w:pPr>
            <w:r>
              <w:rPr>
                <w:rFonts w:hint="eastAsia" w:ascii="宋体" w:eastAsia="宋体" w:cs="宋体"/>
                <w:color w:val="auto"/>
                <w:sz w:val="21"/>
                <w:szCs w:val="21"/>
                <w:highlight w:val="none"/>
                <w:lang w:val="zh-CN"/>
              </w:rPr>
              <w:t>价</w:t>
            </w:r>
            <w:r>
              <w:rPr>
                <w:rFonts w:hint="eastAsia" w:ascii="宋体" w:eastAsia="宋体" w:cs="宋体"/>
                <w:bCs/>
                <w:color w:val="auto"/>
                <w:sz w:val="21"/>
                <w:szCs w:val="21"/>
                <w:highlight w:val="none"/>
                <w:lang w:val="zh-CN"/>
              </w:rPr>
              <w:t>格分计算方法：满足招标文件要求且投标报价最低（即最大下浮率）的投标报价为评标基准价，其价格分为满分。其他供应商的价格分统一按照下列公式计算：</w:t>
            </w:r>
          </w:p>
          <w:p w14:paraId="12178CE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lang w:val="zh-CN"/>
              </w:rPr>
              <w:t>投标报价得分=[(1-最大下浮率)／(1-投标下浮率)]×价格权重</w:t>
            </w:r>
          </w:p>
        </w:tc>
      </w:tr>
    </w:tbl>
    <w:p w14:paraId="6F5563E6">
      <w:pPr>
        <w:rPr>
          <w:color w:val="auto"/>
          <w:highlight w:val="none"/>
        </w:rPr>
      </w:pPr>
      <w:r>
        <w:rPr>
          <w:color w:val="auto"/>
          <w:highlight w:val="none"/>
        </w:rPr>
        <w:br w:type="page"/>
      </w:r>
    </w:p>
    <w:p w14:paraId="114B2731">
      <w:pPr>
        <w:pStyle w:val="3"/>
        <w:numPr>
          <w:ilvl w:val="0"/>
          <w:numId w:val="1"/>
        </w:numPr>
        <w:rPr>
          <w:color w:val="auto"/>
          <w:highlight w:val="none"/>
        </w:rPr>
      </w:pPr>
      <w:bookmarkStart w:id="145" w:name="_Toc32522"/>
      <w:r>
        <w:rPr>
          <w:rFonts w:hint="eastAsia"/>
          <w:color w:val="auto"/>
          <w:highlight w:val="none"/>
        </w:rPr>
        <w:t>合同文本参考格式</w:t>
      </w:r>
      <w:bookmarkEnd w:id="145"/>
    </w:p>
    <w:p w14:paraId="646DF588">
      <w:pPr>
        <w:jc w:val="center"/>
        <w:outlineLvl w:val="1"/>
        <w:rPr>
          <w:color w:val="auto"/>
          <w:sz w:val="18"/>
          <w:szCs w:val="21"/>
          <w:highlight w:val="none"/>
        </w:rPr>
      </w:pPr>
      <w:bookmarkStart w:id="146" w:name="_Toc1541"/>
      <w:r>
        <w:rPr>
          <w:rFonts w:hint="eastAsia" w:ascii="宋体" w:hAnsi="宋体" w:cs="宋体"/>
          <w:b/>
          <w:bCs/>
          <w:color w:val="auto"/>
          <w:sz w:val="22"/>
          <w:szCs w:val="22"/>
          <w:highlight w:val="none"/>
        </w:rPr>
        <w:t>（本格式编排在招标文件中，供投标人参考，投标时不需填写）</w:t>
      </w:r>
      <w:bookmarkEnd w:id="146"/>
    </w:p>
    <w:p w14:paraId="78C68C3C">
      <w:pPr>
        <w:keepNext w:val="0"/>
        <w:keepLines w:val="0"/>
        <w:pageBreakBefore w:val="0"/>
        <w:widowControl w:val="0"/>
        <w:kinsoku/>
        <w:wordWrap/>
        <w:overflowPunct/>
        <w:topLinePunct w:val="0"/>
        <w:autoSpaceDE/>
        <w:autoSpaceDN/>
        <w:bidi w:val="0"/>
        <w:adjustRightInd/>
        <w:snapToGrid/>
        <w:ind w:firstLine="0"/>
        <w:textAlignment w:val="auto"/>
        <w:rPr>
          <w:color w:val="auto"/>
          <w:highlight w:val="none"/>
        </w:rPr>
      </w:pPr>
    </w:p>
    <w:p w14:paraId="2EC5D2A0">
      <w:pPr>
        <w:pStyle w:val="2"/>
        <w:pageBreakBefore w:val="0"/>
        <w:kinsoku/>
        <w:topLinePunct w:val="0"/>
        <w:autoSpaceDE/>
        <w:autoSpaceDN/>
        <w:bidi w:val="0"/>
        <w:spacing w:before="0" w:after="0" w:line="360" w:lineRule="auto"/>
        <w:jc w:val="center"/>
        <w:rPr>
          <w:rFonts w:ascii="宋体" w:hAnsi="宋体" w:eastAsia="宋体" w:cs="宋体"/>
          <w:color w:val="auto"/>
          <w:highlight w:val="none"/>
        </w:rPr>
      </w:pPr>
      <w:bookmarkStart w:id="147" w:name="_Toc19043"/>
      <w:r>
        <w:rPr>
          <w:rFonts w:hint="eastAsia" w:ascii="宋体" w:hAnsi="宋体" w:eastAsia="宋体" w:cs="宋体"/>
          <w:color w:val="auto"/>
          <w:highlight w:val="none"/>
        </w:rPr>
        <w:t>合同格式</w:t>
      </w:r>
      <w:bookmarkEnd w:id="147"/>
    </w:p>
    <w:p w14:paraId="440B64FE">
      <w:pPr>
        <w:keepNext w:val="0"/>
        <w:keepLines w:val="0"/>
        <w:pageBreakBefore w:val="0"/>
        <w:kinsoku/>
        <w:wordWrap/>
        <w:overflowPunct/>
        <w:topLinePunct w:val="0"/>
        <w:autoSpaceDE/>
        <w:autoSpaceDN/>
        <w:bidi w:val="0"/>
        <w:spacing w:line="400" w:lineRule="exact"/>
        <w:ind w:right="56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14:paraId="7DB05A6A">
      <w:pPr>
        <w:keepNext w:val="0"/>
        <w:keepLines w:val="0"/>
        <w:pageBreakBefore w:val="0"/>
        <w:kinsoku/>
        <w:wordWrap/>
        <w:overflowPunct/>
        <w:topLinePunct w:val="0"/>
        <w:autoSpaceDE/>
        <w:autoSpaceDN/>
        <w:bidi w:val="0"/>
        <w:spacing w:line="400" w:lineRule="exac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14:paraId="7AB06A04">
      <w:pPr>
        <w:keepNext w:val="0"/>
        <w:keepLines w:val="0"/>
        <w:pageBreakBefore w:val="0"/>
        <w:kinsoku/>
        <w:wordWrap/>
        <w:overflowPunct/>
        <w:topLinePunct w:val="0"/>
        <w:autoSpaceDE/>
        <w:autoSpaceDN/>
        <w:bidi w:val="0"/>
        <w:spacing w:line="400" w:lineRule="exac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w:t>
      </w:r>
    </w:p>
    <w:p w14:paraId="59A4CC8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采购项目（采购项目编号为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为中标单位。为了保护甲、乙双方合法权益，根据《中华人民共和国政府采购法》及其实施条例、《中华人民共和国</w:t>
      </w:r>
      <w:r>
        <w:rPr>
          <w:rFonts w:hint="eastAsia" w:eastAsia="宋体"/>
          <w:color w:val="auto"/>
          <w:highlight w:val="none"/>
          <w:lang w:eastAsia="zh-CN"/>
        </w:rPr>
        <w:t>民法典</w:t>
      </w:r>
      <w:r>
        <w:rPr>
          <w:rFonts w:hint="eastAsia" w:ascii="宋体" w:hAnsi="宋体" w:eastAsia="宋体"/>
          <w:color w:val="auto"/>
          <w:sz w:val="21"/>
          <w:szCs w:val="21"/>
          <w:highlight w:val="none"/>
        </w:rPr>
        <w:t>》，在平等自愿的基础上，按照下面的条款和条件，签署本合同。</w:t>
      </w:r>
    </w:p>
    <w:p w14:paraId="6BDC3E6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14:paraId="55E3556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14:paraId="171ACB3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2、采购项目编号：                   。</w:t>
      </w:r>
    </w:p>
    <w:p w14:paraId="42A152F1">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14:paraId="1CD2D28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14:paraId="2C63C530">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48" w:name="_Toc86481558"/>
      <w:r>
        <w:rPr>
          <w:rFonts w:hint="eastAsia" w:ascii="宋体" w:hAnsi="宋体" w:eastAsia="宋体"/>
          <w:b/>
          <w:color w:val="auto"/>
          <w:sz w:val="21"/>
          <w:szCs w:val="21"/>
          <w:highlight w:val="none"/>
        </w:rPr>
        <w:t>第三条 服务内容、标准及要求</w:t>
      </w:r>
    </w:p>
    <w:p w14:paraId="53F4C98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14:paraId="0F7158E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14:paraId="41310E9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14:paraId="402D84D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14:paraId="20B33A53">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14:paraId="2D91ADC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w:t>
      </w:r>
      <w:r>
        <w:rPr>
          <w:rFonts w:hint="eastAsia" w:ascii="宋体" w:hAnsi="宋体" w:cs="仿宋"/>
          <w:color w:val="auto"/>
          <w:sz w:val="21"/>
          <w:szCs w:val="21"/>
          <w:highlight w:val="none"/>
          <w:shd w:val="clear" w:color="auto" w:fill="FFFFFF"/>
          <w:lang w:val="en-US" w:eastAsia="zh-CN"/>
        </w:rPr>
        <w:t>单价</w:t>
      </w:r>
      <w:r>
        <w:rPr>
          <w:rFonts w:hint="eastAsia" w:ascii="宋体" w:hAnsi="宋体" w:eastAsia="宋体" w:cs="仿宋"/>
          <w:color w:val="auto"/>
          <w:sz w:val="21"/>
          <w:szCs w:val="21"/>
          <w:highlight w:val="none"/>
          <w:shd w:val="clear" w:color="auto" w:fill="FFFFFF"/>
        </w:rPr>
        <w:t>包含：人工费、材料费、设备使用费、各种税费、保险费及合同实施过程中的不可预见费用等全部费用。</w:t>
      </w:r>
    </w:p>
    <w:p w14:paraId="225327A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2、合同</w:t>
      </w:r>
      <w:r>
        <w:rPr>
          <w:rFonts w:hint="eastAsia" w:ascii="宋体" w:hAnsi="宋体"/>
          <w:color w:val="auto"/>
          <w:sz w:val="21"/>
          <w:szCs w:val="21"/>
          <w:highlight w:val="none"/>
          <w:lang w:val="en-US" w:eastAsia="zh-CN"/>
        </w:rPr>
        <w:t>暂定</w:t>
      </w:r>
      <w:r>
        <w:rPr>
          <w:rFonts w:hint="eastAsia" w:ascii="宋体" w:hAnsi="宋体" w:eastAsia="宋体"/>
          <w:color w:val="auto"/>
          <w:sz w:val="21"/>
          <w:szCs w:val="21"/>
          <w:highlight w:val="none"/>
        </w:rPr>
        <w:t xml:space="preserve">总价：（人民币）大写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5AC80327">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olor w:val="auto"/>
          <w:sz w:val="21"/>
          <w:szCs w:val="21"/>
          <w:highlight w:val="none"/>
        </w:rPr>
        <w:t>3、</w:t>
      </w:r>
      <w:r>
        <w:rPr>
          <w:rFonts w:hint="eastAsia" w:ascii="宋体" w:hAnsi="宋体"/>
          <w:color w:val="auto"/>
          <w:sz w:val="21"/>
          <w:szCs w:val="21"/>
          <w:highlight w:val="none"/>
          <w:lang w:val="en-US" w:eastAsia="zh-CN"/>
        </w:rPr>
        <w:t>乙方应</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要求按月配送，按实支付</w:t>
      </w:r>
      <w:r>
        <w:rPr>
          <w:rFonts w:hint="eastAsia" w:ascii="宋体" w:hAnsi="宋体" w:cs="宋体"/>
          <w:color w:val="auto"/>
          <w:sz w:val="21"/>
          <w:szCs w:val="21"/>
          <w:highlight w:val="none"/>
          <w:lang w:eastAsia="zh-CN"/>
        </w:rPr>
        <w:t>。</w:t>
      </w:r>
    </w:p>
    <w:p w14:paraId="5E37FC7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cs="宋体"/>
          <w:color w:val="auto"/>
          <w:sz w:val="21"/>
          <w:szCs w:val="21"/>
          <w:highlight w:val="none"/>
          <w:lang w:val="en-US" w:eastAsia="zh-CN"/>
        </w:rPr>
        <w:t xml:space="preserve">4、合同履约保证金为合同暂定总价的 </w:t>
      </w:r>
      <w:r>
        <w:rPr>
          <w:rFonts w:hint="eastAsia" w:ascii="宋体" w:hAnsi="宋体" w:cs="宋体"/>
          <w:color w:val="auto"/>
          <w:sz w:val="21"/>
          <w:szCs w:val="21"/>
          <w:highlight w:val="none"/>
          <w:u w:val="single"/>
          <w:lang w:val="en-US" w:eastAsia="zh-CN"/>
        </w:rPr>
        <w:t xml:space="preserve"> 5 </w:t>
      </w:r>
      <w:r>
        <w:rPr>
          <w:rFonts w:hint="eastAsia" w:ascii="宋体" w:hAnsi="宋体" w:cs="宋体"/>
          <w:color w:val="auto"/>
          <w:sz w:val="21"/>
          <w:szCs w:val="21"/>
          <w:highlight w:val="none"/>
          <w:lang w:val="en-US" w:eastAsia="zh-CN"/>
        </w:rPr>
        <w:t xml:space="preserve"> %，即</w:t>
      </w:r>
      <w:r>
        <w:rPr>
          <w:rFonts w:hint="eastAsia" w:ascii="宋体" w:hAnsi="宋体" w:eastAsia="宋体"/>
          <w:color w:val="auto"/>
          <w:sz w:val="21"/>
          <w:szCs w:val="21"/>
          <w:highlight w:val="none"/>
        </w:rPr>
        <w:t xml:space="preserve">（人民币）大写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乙方应在合同签订后</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日内支付给甲方，如逾期未支付，视为乙方单方解除本合同，应承担相应的违约责任。甲方有权在通知乙方后直接从乙方已缴纳的履约保证金中扣除乙方应付款项，用于弥补甲方损失或抵扣违约金。履约保证金扣除后，乙方应在 5 个工作日内补足履约保证金至原金额；若乙方未补足且后续仍需履行供货义务，甲方有权暂停支付后续货款，直至乙方补足保证金为止。本合同服务期届满，且双方已完成最终结算，无未结清款项，甲方在服务期届满后</w:t>
      </w:r>
      <w:r>
        <w:rPr>
          <w:rFonts w:hint="eastAsia" w:ascii="宋体" w:hAnsi="宋体" w:eastAsia="宋体"/>
          <w:color w:val="auto"/>
          <w:sz w:val="21"/>
          <w:szCs w:val="21"/>
          <w:highlight w:val="none"/>
          <w:u w:val="single"/>
          <w:lang w:val="en-US" w:eastAsia="zh-CN"/>
        </w:rPr>
        <w:t xml:space="preserve"> 15 </w:t>
      </w:r>
      <w:r>
        <w:rPr>
          <w:rFonts w:hint="eastAsia" w:ascii="宋体" w:hAnsi="宋体" w:eastAsia="宋体"/>
          <w:color w:val="auto"/>
          <w:sz w:val="21"/>
          <w:szCs w:val="21"/>
          <w:highlight w:val="none"/>
          <w:lang w:val="en-US" w:eastAsia="zh-CN"/>
        </w:rPr>
        <w:t>个工作日内，将剩余履约保证金（扣除已阶段性退还部分及乙方未结清的违约金、赔偿金后）无息退还至乙方指定账户：​</w:t>
      </w:r>
    </w:p>
    <w:p w14:paraId="1F4EAC8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14:paraId="5419207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1、服务期：</w:t>
      </w:r>
      <w:r>
        <w:rPr>
          <w:rFonts w:hint="eastAsia" w:ascii="宋体" w:hAnsi="宋体"/>
          <w:color w:val="auto"/>
          <w:sz w:val="21"/>
          <w:szCs w:val="21"/>
          <w:highlight w:val="none"/>
          <w:lang w:val="en-US" w:eastAsia="zh-CN"/>
        </w:rPr>
        <w:t>3</w:t>
      </w:r>
      <w:r>
        <w:rPr>
          <w:rFonts w:hint="eastAsia" w:ascii="宋体" w:hAnsi="宋体" w:eastAsia="宋体"/>
          <w:color w:val="auto"/>
          <w:sz w:val="21"/>
          <w:szCs w:val="21"/>
          <w:highlight w:val="none"/>
        </w:rPr>
        <w:t>年，合同生效之日自       年  月  日至     年  月  日止。</w:t>
      </w:r>
    </w:p>
    <w:p w14:paraId="43FE700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14:paraId="3978B9D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14:paraId="739786CD">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1、本合同的付款方式为：</w:t>
      </w:r>
      <w:r>
        <w:rPr>
          <w:rFonts w:hint="eastAsia" w:ascii="宋体" w:hAnsi="宋体"/>
          <w:color w:val="auto"/>
          <w:sz w:val="21"/>
          <w:szCs w:val="21"/>
          <w:highlight w:val="none"/>
          <w:u w:val="single"/>
        </w:rPr>
        <w:t xml:space="preserve"> 本合同的每笔款项均以银行电汇方式支付，双方采取先送货后结款的方式，从第一次送货之日起，</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每月向</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清货款一次。双方应在每月10日前核对上期货款，再由</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根据双方核对无误确认好的金额开具发票给</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请款，</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应在收到</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发票后的30个工作日内支付上月的货款，</w:t>
      </w:r>
      <w:r>
        <w:rPr>
          <w:rFonts w:hint="eastAsia" w:ascii="宋体" w:hAnsi="宋体"/>
          <w:color w:val="auto"/>
          <w:sz w:val="21"/>
          <w:szCs w:val="21"/>
          <w:highlight w:val="none"/>
          <w:u w:val="single"/>
          <w:lang w:val="en-US" w:eastAsia="zh-CN"/>
        </w:rPr>
        <w:t>甲方</w:t>
      </w:r>
      <w:r>
        <w:rPr>
          <w:rFonts w:hint="eastAsia" w:ascii="宋体" w:hAnsi="宋体"/>
          <w:color w:val="auto"/>
          <w:sz w:val="21"/>
          <w:szCs w:val="21"/>
          <w:highlight w:val="none"/>
          <w:u w:val="single"/>
        </w:rPr>
        <w:t>以银行转账方式将货款一次性转入</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 xml:space="preserve">书面指定的银行账户 </w:t>
      </w:r>
      <w:r>
        <w:rPr>
          <w:rFonts w:hint="eastAsia" w:ascii="宋体" w:hAnsi="宋体"/>
          <w:color w:val="auto"/>
          <w:sz w:val="21"/>
          <w:szCs w:val="21"/>
          <w:highlight w:val="none"/>
        </w:rPr>
        <w:t>。</w:t>
      </w:r>
    </w:p>
    <w:p w14:paraId="228DCBF5">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14:paraId="175FCB6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14:paraId="59EA5531">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14:paraId="70498150">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14:paraId="10ADC502">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14:paraId="56A0C526">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14:paraId="1D088AD4">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在中国境内、外发生的与本合同执行有关的一切税费均由乙方负担。</w:t>
      </w:r>
    </w:p>
    <w:p w14:paraId="1593F75B">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14:paraId="54D4175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14:paraId="060818E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14:paraId="1332CF4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14:paraId="01A0B8EC">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14:paraId="7A1D759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14:paraId="6CC5A5C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14:paraId="40809BC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14:paraId="2111AF69">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p w14:paraId="182E15EB">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olor w:val="auto"/>
          <w:sz w:val="21"/>
          <w:szCs w:val="21"/>
          <w:highlight w:val="none"/>
          <w:lang w:val="en-US" w:eastAsia="zh-CN"/>
        </w:rPr>
        <w:t>3、</w:t>
      </w:r>
      <w:r>
        <w:rPr>
          <w:rFonts w:hint="eastAsia" w:ascii="宋体" w:hAnsi="宋体" w:eastAsia="宋体"/>
          <w:color w:val="auto"/>
          <w:sz w:val="21"/>
          <w:szCs w:val="21"/>
          <w:highlight w:val="none"/>
        </w:rPr>
        <w:t>乙方交付的货物不符合合同规定的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必须</w:t>
      </w:r>
      <w:r>
        <w:rPr>
          <w:rFonts w:hint="eastAsia" w:ascii="宋体" w:hAnsi="宋体" w:eastAsia="宋体" w:cs="宋体"/>
          <w:color w:val="auto"/>
          <w:kern w:val="2"/>
          <w:sz w:val="21"/>
          <w:szCs w:val="21"/>
          <w:highlight w:val="none"/>
          <w:lang w:val="en-US" w:eastAsia="zh-CN"/>
        </w:rPr>
        <w:t>在甲方规定时间内</w:t>
      </w:r>
      <w:r>
        <w:rPr>
          <w:rFonts w:hint="eastAsia" w:ascii="宋体" w:hAnsi="宋体" w:eastAsia="宋体" w:cs="宋体"/>
          <w:color w:val="auto"/>
          <w:kern w:val="2"/>
          <w:sz w:val="21"/>
          <w:szCs w:val="21"/>
          <w:highlight w:val="none"/>
        </w:rPr>
        <w:t>无条件退货或更换</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并扣减相关考核评分</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提供假冒伪劣、过期、变质货品的，一经发现，除按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要求无条件退货或换货外，</w:t>
      </w:r>
      <w:r>
        <w:rPr>
          <w:rFonts w:hint="eastAsia" w:ascii="宋体" w:hAnsi="宋体" w:eastAsia="宋体" w:cs="宋体"/>
          <w:color w:val="auto"/>
          <w:kern w:val="2"/>
          <w:sz w:val="21"/>
          <w:szCs w:val="21"/>
          <w:highlight w:val="none"/>
          <w:lang w:val="en-US" w:eastAsia="zh-CN"/>
        </w:rPr>
        <w:t>承担以下违约责任</w:t>
      </w:r>
      <w:r>
        <w:rPr>
          <w:rFonts w:hint="eastAsia" w:ascii="宋体" w:hAnsi="宋体" w:eastAsia="宋体" w:cs="宋体"/>
          <w:color w:val="auto"/>
          <w:kern w:val="2"/>
          <w:sz w:val="21"/>
          <w:szCs w:val="21"/>
          <w:highlight w:val="none"/>
        </w:rPr>
        <w:t>：</w:t>
      </w:r>
    </w:p>
    <w:p w14:paraId="154E9B27">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提供过期、变质货品</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次以上或提供假冒伪劣货品的，</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有权单方终止合同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要求乙方承担合同暂定总价</w:t>
      </w:r>
      <w:r>
        <w:rPr>
          <w:rFonts w:hint="eastAsia" w:ascii="宋体" w:hAnsi="宋体" w:eastAsia="宋体" w:cs="宋体"/>
          <w:color w:val="auto"/>
          <w:kern w:val="2"/>
          <w:sz w:val="21"/>
          <w:szCs w:val="21"/>
          <w:highlight w:val="none"/>
          <w:u w:val="single"/>
          <w:lang w:val="en-US" w:eastAsia="zh-CN"/>
        </w:rPr>
        <w:t xml:space="preserve"> 20 </w:t>
      </w:r>
      <w:r>
        <w:rPr>
          <w:rFonts w:hint="eastAsia" w:ascii="宋体" w:hAnsi="宋体" w:eastAsia="宋体" w:cs="宋体"/>
          <w:color w:val="auto"/>
          <w:kern w:val="2"/>
          <w:sz w:val="21"/>
          <w:szCs w:val="21"/>
          <w:highlight w:val="none"/>
          <w:lang w:val="en-US" w:eastAsia="zh-CN"/>
        </w:rPr>
        <w:t>%的违约金</w:t>
      </w:r>
      <w:r>
        <w:rPr>
          <w:rFonts w:hint="eastAsia" w:ascii="宋体" w:hAnsi="宋体" w:eastAsia="宋体" w:cs="宋体"/>
          <w:color w:val="auto"/>
          <w:kern w:val="2"/>
          <w:sz w:val="21"/>
          <w:szCs w:val="21"/>
          <w:highlight w:val="none"/>
        </w:rPr>
        <w:t>；</w:t>
      </w:r>
    </w:p>
    <w:p w14:paraId="1AC50664">
      <w:pPr>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(2)因</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供应货品质量问题造成食品安全事故的，经有关部门鉴定后，</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须负担全数的医药费及赔偿费等，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lang w:val="en-US" w:eastAsia="zh-CN"/>
        </w:rPr>
        <w:t>有权单方解除合同</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要求乙方承担合同暂定总价</w:t>
      </w:r>
      <w:r>
        <w:rPr>
          <w:rFonts w:hint="eastAsia" w:ascii="宋体" w:hAnsi="宋体" w:eastAsia="宋体" w:cs="宋体"/>
          <w:color w:val="auto"/>
          <w:kern w:val="2"/>
          <w:sz w:val="21"/>
          <w:szCs w:val="21"/>
          <w:highlight w:val="none"/>
          <w:u w:val="single"/>
          <w:lang w:val="en-US" w:eastAsia="zh-CN"/>
        </w:rPr>
        <w:t xml:space="preserve"> 20 </w:t>
      </w:r>
      <w:r>
        <w:rPr>
          <w:rFonts w:hint="eastAsia" w:ascii="宋体" w:hAnsi="宋体" w:eastAsia="宋体" w:cs="宋体"/>
          <w:color w:val="auto"/>
          <w:kern w:val="2"/>
          <w:sz w:val="21"/>
          <w:szCs w:val="21"/>
          <w:highlight w:val="none"/>
          <w:lang w:val="en-US" w:eastAsia="zh-CN"/>
        </w:rPr>
        <w:t>%的违约金，</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同时承担相应的民事及刑事法律责任。</w:t>
      </w:r>
    </w:p>
    <w:p w14:paraId="150E2AA1">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4、乙方在规定时间内不能供货而影响甲方备餐的，乙方应每次按照该批货款金额</w:t>
      </w:r>
      <w:r>
        <w:rPr>
          <w:rFonts w:hint="eastAsia" w:ascii="宋体" w:hAnsi="宋体" w:eastAsia="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lang w:val="en-US" w:eastAsia="zh-CN"/>
        </w:rPr>
        <w:t>%的标准支付违约金，并扣减相关考核评分。</w:t>
      </w:r>
    </w:p>
    <w:p w14:paraId="67A1C86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其它违约责任按《中华人民共和国民法典》相关法律法规</w:t>
      </w:r>
      <w:r>
        <w:rPr>
          <w:rFonts w:hint="eastAsia" w:ascii="宋体" w:hAnsi="宋体"/>
          <w:color w:val="auto"/>
          <w:sz w:val="21"/>
          <w:szCs w:val="21"/>
          <w:highlight w:val="none"/>
          <w:lang w:val="en-US" w:eastAsia="zh-CN"/>
        </w:rPr>
        <w:t>及招标文件等合同文件</w:t>
      </w:r>
      <w:r>
        <w:rPr>
          <w:rFonts w:hint="eastAsia" w:ascii="宋体" w:hAnsi="宋体" w:eastAsia="宋体"/>
          <w:color w:val="auto"/>
          <w:sz w:val="21"/>
          <w:szCs w:val="21"/>
          <w:highlight w:val="none"/>
        </w:rPr>
        <w:t>处理。</w:t>
      </w:r>
    </w:p>
    <w:bookmarkEnd w:id="148"/>
    <w:p w14:paraId="7F83425D">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49" w:name="_Toc86481570"/>
      <w:r>
        <w:rPr>
          <w:rFonts w:hint="eastAsia" w:ascii="宋体" w:hAnsi="宋体" w:eastAsia="宋体"/>
          <w:b/>
          <w:color w:val="auto"/>
          <w:sz w:val="21"/>
          <w:szCs w:val="21"/>
          <w:highlight w:val="none"/>
        </w:rPr>
        <w:t>第十一条 争议的解决</w:t>
      </w:r>
    </w:p>
    <w:p w14:paraId="2CBBA44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14:paraId="3F8F283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14:paraId="7EED7EE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14:paraId="73373BC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14:paraId="55F72CDD">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50" w:name="_Toc86481569"/>
      <w:r>
        <w:rPr>
          <w:rFonts w:hint="eastAsia" w:ascii="宋体" w:hAnsi="宋体" w:eastAsia="宋体"/>
          <w:b/>
          <w:color w:val="auto"/>
          <w:sz w:val="21"/>
          <w:szCs w:val="21"/>
          <w:highlight w:val="none"/>
        </w:rPr>
        <w:t>第十二条 合同生效</w:t>
      </w:r>
      <w:bookmarkEnd w:id="150"/>
    </w:p>
    <w:p w14:paraId="58D6EAA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14:paraId="0AA8947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14:paraId="30D99432">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149"/>
    </w:p>
    <w:p w14:paraId="099B230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14:paraId="7B3D897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14:paraId="6E919C4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14:paraId="034A0515">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p>
    <w:p w14:paraId="6DD34702">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p>
    <w:p w14:paraId="39A1202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14:paraId="474C5DD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法定代表(签字)：                   法定代表(签字)：</w:t>
      </w:r>
    </w:p>
    <w:p w14:paraId="16FC104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地址： </w:t>
      </w:r>
    </w:p>
    <w:p w14:paraId="4D58688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电话：                             电话：</w:t>
      </w:r>
    </w:p>
    <w:p w14:paraId="501B412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传真：</w:t>
      </w:r>
    </w:p>
    <w:p w14:paraId="6D46F53F">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开户银行：</w:t>
      </w:r>
    </w:p>
    <w:p w14:paraId="0C5FF523">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账号：                             账号：</w:t>
      </w:r>
    </w:p>
    <w:p w14:paraId="0E17B9C5">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14:paraId="60B3520F">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签约地点：</w:t>
      </w:r>
    </w:p>
    <w:p w14:paraId="64AD2030">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p>
    <w:p w14:paraId="7211A092">
      <w:pPr>
        <w:jc w:val="center"/>
        <w:rPr>
          <w:color w:val="auto"/>
          <w:highlight w:val="none"/>
        </w:rPr>
      </w:pPr>
      <w:r>
        <w:rPr>
          <w:rFonts w:hint="eastAsia" w:ascii="宋体" w:hAnsi="宋体" w:eastAsia="宋体"/>
          <w:b/>
          <w:color w:val="auto"/>
          <w:sz w:val="21"/>
          <w:szCs w:val="21"/>
          <w:highlight w:val="none"/>
        </w:rPr>
        <w:t>此仅为合同书样本，中标人需根据实际情况和甲方签订相应的合同！</w:t>
      </w:r>
      <w:r>
        <w:rPr>
          <w:rFonts w:hint="eastAsia"/>
          <w:color w:val="auto"/>
          <w:highlight w:val="none"/>
        </w:rPr>
        <w:br w:type="page"/>
      </w:r>
    </w:p>
    <w:p w14:paraId="4FCFC2AF">
      <w:pPr>
        <w:pStyle w:val="3"/>
        <w:rPr>
          <w:color w:val="auto"/>
          <w:highlight w:val="none"/>
        </w:rPr>
      </w:pPr>
      <w:bookmarkStart w:id="151" w:name="_Toc17794"/>
      <w:r>
        <w:rPr>
          <w:rFonts w:hint="eastAsia"/>
          <w:color w:val="auto"/>
          <w:highlight w:val="none"/>
        </w:rPr>
        <w:t>第六篇 投标文件格式</w:t>
      </w:r>
      <w:bookmarkEnd w:id="151"/>
    </w:p>
    <w:p w14:paraId="5BA371E0">
      <w:pPr>
        <w:rPr>
          <w:b/>
          <w:bCs/>
          <w:color w:val="auto"/>
          <w:highlight w:val="none"/>
        </w:rPr>
      </w:pPr>
      <w:r>
        <w:rPr>
          <w:rFonts w:hint="eastAsia"/>
          <w:b/>
          <w:bCs/>
          <w:color w:val="auto"/>
          <w:highlight w:val="none"/>
        </w:rPr>
        <w:t>注意事项：</w:t>
      </w:r>
    </w:p>
    <w:p w14:paraId="046F76BC">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投标人应提交证明其有资格参加投标和中标后有能力履行合同的相关文件，并作为其投标文件的一部分，所有文件必须真实可靠、不得伪造，否则将按相关规定予以处罚。</w:t>
      </w:r>
    </w:p>
    <w:p w14:paraId="1A749959">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128B3793">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611039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w:t>
      </w:r>
      <w:r>
        <w:rPr>
          <w:rFonts w:hint="eastAsia"/>
          <w:color w:val="auto"/>
          <w:sz w:val="20"/>
          <w:szCs w:val="20"/>
          <w:highlight w:val="none"/>
          <w:lang w:val="en-US" w:eastAsia="zh-CN"/>
        </w:rPr>
        <w:t>履行合同所必需的</w:t>
      </w:r>
      <w:r>
        <w:rPr>
          <w:rFonts w:hint="eastAsia"/>
          <w:color w:val="auto"/>
          <w:sz w:val="20"/>
          <w:szCs w:val="20"/>
          <w:highlight w:val="none"/>
          <w:lang w:val="en-US"/>
        </w:rPr>
        <w:t>设备和专业技术能力的声明。</w:t>
      </w:r>
    </w:p>
    <w:p w14:paraId="5626C2F1">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6.投标人参加采购前三年内在经营活动中没有重大违法记录书面声明函。</w:t>
      </w:r>
    </w:p>
    <w:p w14:paraId="69EDB8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3EDD4807">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t>
      </w:r>
      <w:r>
        <w:rPr>
          <w:rFonts w:hint="eastAsia"/>
          <w:color w:val="auto"/>
          <w:sz w:val="20"/>
          <w:szCs w:val="20"/>
          <w:highlight w:val="none"/>
          <w:lang w:val="en-US" w:eastAsia="zh-CN"/>
        </w:rPr>
        <w:t>（</w:t>
      </w:r>
      <w:r>
        <w:rPr>
          <w:rFonts w:hint="eastAsia"/>
          <w:color w:val="auto"/>
          <w:sz w:val="20"/>
          <w:szCs w:val="20"/>
          <w:highlight w:val="none"/>
          <w:lang w:val="en-US"/>
        </w:rPr>
        <w:t>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14342BF4">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（2）查询截止时点：提交投标文件截止日当天；</w:t>
      </w:r>
    </w:p>
    <w:p w14:paraId="30842F9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、政府采购严重违法失信行为记录名单、信用报告进行查询；</w:t>
      </w:r>
    </w:p>
    <w:p w14:paraId="1D16690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w:t>
      </w:r>
      <w:r>
        <w:rPr>
          <w:rFonts w:hint="eastAsia"/>
          <w:color w:val="auto"/>
          <w:sz w:val="20"/>
          <w:szCs w:val="20"/>
          <w:highlight w:val="none"/>
          <w:lang w:val="en-US" w:eastAsia="zh-CN"/>
        </w:rPr>
        <w:t>采购人</w:t>
      </w:r>
      <w:r>
        <w:rPr>
          <w:rFonts w:hint="eastAsia"/>
          <w:color w:val="auto"/>
          <w:sz w:val="20"/>
          <w:szCs w:val="20"/>
          <w:highlight w:val="none"/>
          <w:lang w:val="en-US"/>
        </w:rPr>
        <w:t>或招标代理机构应当按照查询渠道、查询时间节点、查询记录内容进行查询，并存档。对信用记录查询结果中显示投标人被列入失信被执行人、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、政府采购严重违法失信行为记录名单的投标人作无效投标处理。</w:t>
      </w:r>
    </w:p>
    <w:p w14:paraId="5CDE9D82">
      <w:pPr>
        <w:pStyle w:val="8"/>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8.按照招标文件要求，投标人应当提交的资格、资信证明文件。</w:t>
      </w:r>
    </w:p>
    <w:p w14:paraId="18D70657">
      <w:pPr>
        <w:rPr>
          <w:rFonts w:hint="eastAsia"/>
          <w:b/>
          <w:bCs/>
          <w:color w:val="auto"/>
          <w:highlight w:val="none"/>
        </w:rPr>
      </w:pPr>
      <w:bookmarkStart w:id="152" w:name="_Toc32213"/>
      <w:r>
        <w:rPr>
          <w:rFonts w:hint="eastAsia"/>
          <w:b/>
          <w:bCs/>
          <w:color w:val="auto"/>
          <w:highlight w:val="none"/>
        </w:rPr>
        <w:br w:type="page"/>
      </w:r>
    </w:p>
    <w:p w14:paraId="6BB67759">
      <w:pPr>
        <w:jc w:val="center"/>
        <w:outlineLvl w:val="1"/>
        <w:rPr>
          <w:b/>
          <w:bCs/>
          <w:color w:val="auto"/>
          <w:highlight w:val="none"/>
        </w:rPr>
      </w:pPr>
      <w:r>
        <w:rPr>
          <w:rFonts w:hint="eastAsia"/>
          <w:b/>
          <w:bCs/>
          <w:color w:val="auto"/>
          <w:highlight w:val="none"/>
        </w:rPr>
        <w:t>（封面格式仅供参考）</w:t>
      </w:r>
      <w:bookmarkEnd w:id="152"/>
    </w:p>
    <w:p w14:paraId="2E4F3EF8">
      <w:pPr>
        <w:jc w:val="center"/>
        <w:rPr>
          <w:rFonts w:ascii="宋体" w:hAnsi="宋体" w:cs="宋体"/>
          <w:b/>
          <w:color w:val="auto"/>
          <w:spacing w:val="10"/>
          <w:kern w:val="0"/>
          <w:sz w:val="38"/>
          <w:szCs w:val="38"/>
          <w:highlight w:val="none"/>
          <w:lang w:val="zh-CN" w:bidi="zh-CN"/>
        </w:rPr>
      </w:pPr>
    </w:p>
    <w:p w14:paraId="4A5FE8E0">
      <w:pPr>
        <w:jc w:val="center"/>
        <w:rPr>
          <w:rFonts w:ascii="宋体" w:hAnsi="宋体" w:cs="宋体"/>
          <w:b/>
          <w:color w:val="auto"/>
          <w:spacing w:val="10"/>
          <w:kern w:val="0"/>
          <w:sz w:val="38"/>
          <w:szCs w:val="38"/>
          <w:highlight w:val="none"/>
          <w:lang w:val="zh-CN" w:bidi="zh-CN"/>
        </w:rPr>
      </w:pPr>
    </w:p>
    <w:p w14:paraId="39A32992">
      <w:pPr>
        <w:jc w:val="center"/>
        <w:rPr>
          <w:rFonts w:ascii="宋体" w:hAnsi="宋体" w:cs="宋体"/>
          <w:b/>
          <w:color w:val="auto"/>
          <w:spacing w:val="10"/>
          <w:kern w:val="0"/>
          <w:sz w:val="38"/>
          <w:szCs w:val="38"/>
          <w:highlight w:val="none"/>
          <w:lang w:val="zh-CN" w:bidi="zh-CN"/>
        </w:rPr>
      </w:pPr>
    </w:p>
    <w:p w14:paraId="7C560B4F">
      <w:pPr>
        <w:jc w:val="center"/>
        <w:rPr>
          <w:rFonts w:ascii="宋体" w:hAnsi="宋体" w:cs="宋体"/>
          <w:b/>
          <w:color w:val="auto"/>
          <w:spacing w:val="10"/>
          <w:kern w:val="0"/>
          <w:sz w:val="38"/>
          <w:szCs w:val="38"/>
          <w:highlight w:val="none"/>
          <w:lang w:val="zh-CN" w:bidi="zh-CN"/>
        </w:rPr>
      </w:pPr>
    </w:p>
    <w:p w14:paraId="5C5D4E8E">
      <w:pPr>
        <w:jc w:val="center"/>
        <w:outlineLvl w:val="2"/>
        <w:rPr>
          <w:rFonts w:ascii="宋体" w:hAnsi="宋体" w:cs="宋体"/>
          <w:b/>
          <w:color w:val="auto"/>
          <w:kern w:val="0"/>
          <w:sz w:val="38"/>
          <w:szCs w:val="38"/>
          <w:highlight w:val="none"/>
          <w:lang w:val="zh-CN" w:bidi="zh-CN"/>
        </w:rPr>
      </w:pPr>
      <w:bookmarkStart w:id="153" w:name="_Toc14748"/>
      <w:r>
        <w:rPr>
          <w:rFonts w:ascii="宋体" w:hAnsi="宋体" w:cs="宋体"/>
          <w:b/>
          <w:color w:val="auto"/>
          <w:spacing w:val="10"/>
          <w:kern w:val="0"/>
          <w:sz w:val="38"/>
          <w:szCs w:val="38"/>
          <w:highlight w:val="none"/>
          <w:lang w:val="zh-CN" w:bidi="zh-CN"/>
        </w:rPr>
        <w:t>投标文件封面</w:t>
      </w:r>
      <w:bookmarkEnd w:id="153"/>
    </w:p>
    <w:p w14:paraId="3F766F8F">
      <w:pPr>
        <w:autoSpaceDE w:val="0"/>
        <w:autoSpaceDN w:val="0"/>
        <w:spacing w:before="11"/>
        <w:jc w:val="center"/>
        <w:rPr>
          <w:rFonts w:ascii="宋体" w:hAnsi="宋体" w:cs="宋体"/>
          <w:b/>
          <w:color w:val="auto"/>
          <w:sz w:val="46"/>
          <w:szCs w:val="19"/>
          <w:highlight w:val="none"/>
          <w:lang w:val="zh-CN" w:bidi="zh-CN"/>
        </w:rPr>
      </w:pPr>
    </w:p>
    <w:p w14:paraId="02B9DBB1">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154" w:name="_Toc17848"/>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ascii="宋体" w:hAnsi="宋体" w:cs="宋体"/>
          <w:b/>
          <w:color w:val="auto"/>
          <w:spacing w:val="7"/>
          <w:kern w:val="0"/>
          <w:sz w:val="38"/>
          <w:szCs w:val="22"/>
          <w:highlight w:val="none"/>
          <w:lang w:val="zh-CN" w:bidi="zh-CN"/>
        </w:rPr>
        <w:t>投标文件封面</w:t>
      </w:r>
      <w:bookmarkEnd w:id="154"/>
    </w:p>
    <w:p w14:paraId="27814FB2">
      <w:pPr>
        <w:autoSpaceDE w:val="0"/>
        <w:autoSpaceDN w:val="0"/>
        <w:spacing w:line="479" w:lineRule="exact"/>
        <w:jc w:val="center"/>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1FB40EE2">
      <w:pPr>
        <w:autoSpaceDE w:val="0"/>
        <w:autoSpaceDN w:val="0"/>
        <w:jc w:val="center"/>
        <w:rPr>
          <w:rFonts w:ascii="宋体" w:hAnsi="宋体" w:cs="宋体"/>
          <w:b/>
          <w:color w:val="auto"/>
          <w:sz w:val="28"/>
          <w:szCs w:val="19"/>
          <w:highlight w:val="none"/>
          <w:lang w:val="zh-CN" w:bidi="zh-CN"/>
        </w:rPr>
      </w:pPr>
    </w:p>
    <w:p w14:paraId="42DF0064">
      <w:pPr>
        <w:autoSpaceDE w:val="0"/>
        <w:autoSpaceDN w:val="0"/>
        <w:jc w:val="center"/>
        <w:rPr>
          <w:rFonts w:ascii="宋体" w:hAnsi="宋体" w:cs="宋体"/>
          <w:b/>
          <w:color w:val="auto"/>
          <w:sz w:val="28"/>
          <w:szCs w:val="19"/>
          <w:highlight w:val="none"/>
          <w:lang w:val="zh-CN" w:bidi="zh-CN"/>
        </w:rPr>
      </w:pPr>
    </w:p>
    <w:p w14:paraId="28A5B81F">
      <w:pPr>
        <w:autoSpaceDE w:val="0"/>
        <w:autoSpaceDN w:val="0"/>
        <w:jc w:val="center"/>
        <w:rPr>
          <w:rFonts w:ascii="宋体" w:hAnsi="宋体" w:cs="宋体"/>
          <w:b/>
          <w:color w:val="auto"/>
          <w:sz w:val="28"/>
          <w:szCs w:val="19"/>
          <w:highlight w:val="none"/>
          <w:lang w:val="zh-CN" w:bidi="zh-CN"/>
        </w:rPr>
      </w:pPr>
    </w:p>
    <w:p w14:paraId="12EFC1A1">
      <w:pPr>
        <w:autoSpaceDE w:val="0"/>
        <w:autoSpaceDN w:val="0"/>
        <w:jc w:val="center"/>
        <w:rPr>
          <w:rFonts w:ascii="宋体" w:hAnsi="宋体" w:cs="宋体"/>
          <w:b/>
          <w:color w:val="auto"/>
          <w:sz w:val="28"/>
          <w:szCs w:val="19"/>
          <w:highlight w:val="none"/>
          <w:lang w:val="zh-CN" w:bidi="zh-CN"/>
        </w:rPr>
      </w:pPr>
    </w:p>
    <w:p w14:paraId="67006BE1">
      <w:pPr>
        <w:autoSpaceDE w:val="0"/>
        <w:autoSpaceDN w:val="0"/>
        <w:jc w:val="center"/>
        <w:rPr>
          <w:rFonts w:ascii="宋体" w:hAnsi="宋体" w:cs="宋体"/>
          <w:b/>
          <w:color w:val="auto"/>
          <w:sz w:val="28"/>
          <w:szCs w:val="19"/>
          <w:highlight w:val="none"/>
          <w:lang w:val="zh-CN" w:bidi="zh-CN"/>
        </w:rPr>
      </w:pPr>
    </w:p>
    <w:p w14:paraId="31305212">
      <w:pPr>
        <w:autoSpaceDE w:val="0"/>
        <w:autoSpaceDN w:val="0"/>
        <w:jc w:val="center"/>
        <w:rPr>
          <w:rFonts w:ascii="宋体" w:hAnsi="宋体" w:cs="宋体"/>
          <w:b/>
          <w:color w:val="auto"/>
          <w:sz w:val="28"/>
          <w:szCs w:val="19"/>
          <w:highlight w:val="none"/>
          <w:lang w:val="zh-CN" w:bidi="zh-CN"/>
        </w:rPr>
      </w:pPr>
    </w:p>
    <w:p w14:paraId="048CB701">
      <w:pPr>
        <w:autoSpaceDE w:val="0"/>
        <w:autoSpaceDN w:val="0"/>
        <w:spacing w:before="8"/>
        <w:jc w:val="center"/>
        <w:rPr>
          <w:rFonts w:ascii="宋体" w:hAnsi="宋体" w:cs="宋体"/>
          <w:b/>
          <w:color w:val="auto"/>
          <w:sz w:val="38"/>
          <w:szCs w:val="19"/>
          <w:highlight w:val="none"/>
          <w:lang w:val="zh-CN" w:bidi="zh-CN"/>
        </w:rPr>
      </w:pPr>
    </w:p>
    <w:p w14:paraId="77D8F50F">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0784914D">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4D14DF6">
      <w:pPr>
        <w:autoSpaceDE w:val="0"/>
        <w:autoSpaceDN w:val="0"/>
        <w:jc w:val="center"/>
        <w:rPr>
          <w:rFonts w:ascii="宋体" w:hAnsi="宋体" w:cs="宋体"/>
          <w:b/>
          <w:color w:val="auto"/>
          <w:sz w:val="24"/>
          <w:szCs w:val="19"/>
          <w:highlight w:val="none"/>
          <w:lang w:val="zh-CN" w:bidi="zh-CN"/>
        </w:rPr>
      </w:pPr>
    </w:p>
    <w:p w14:paraId="1EE31731">
      <w:pPr>
        <w:autoSpaceDE w:val="0"/>
        <w:autoSpaceDN w:val="0"/>
        <w:jc w:val="center"/>
        <w:rPr>
          <w:rFonts w:ascii="宋体" w:hAnsi="宋体" w:cs="宋体"/>
          <w:b/>
          <w:color w:val="auto"/>
          <w:sz w:val="24"/>
          <w:szCs w:val="19"/>
          <w:highlight w:val="none"/>
          <w:lang w:val="zh-CN" w:bidi="zh-CN"/>
        </w:rPr>
      </w:pPr>
    </w:p>
    <w:p w14:paraId="26496603">
      <w:pPr>
        <w:autoSpaceDE w:val="0"/>
        <w:autoSpaceDN w:val="0"/>
        <w:jc w:val="center"/>
        <w:rPr>
          <w:rFonts w:ascii="宋体" w:hAnsi="宋体" w:cs="宋体"/>
          <w:b/>
          <w:color w:val="auto"/>
          <w:sz w:val="24"/>
          <w:szCs w:val="19"/>
          <w:highlight w:val="none"/>
          <w:lang w:val="zh-CN" w:bidi="zh-CN"/>
        </w:rPr>
      </w:pPr>
    </w:p>
    <w:p w14:paraId="5A4560A1">
      <w:pPr>
        <w:autoSpaceDE w:val="0"/>
        <w:autoSpaceDN w:val="0"/>
        <w:jc w:val="center"/>
        <w:rPr>
          <w:rFonts w:ascii="宋体" w:hAnsi="宋体" w:cs="宋体"/>
          <w:b/>
          <w:color w:val="auto"/>
          <w:sz w:val="24"/>
          <w:szCs w:val="19"/>
          <w:highlight w:val="none"/>
          <w:lang w:val="zh-CN" w:bidi="zh-CN"/>
        </w:rPr>
      </w:pPr>
    </w:p>
    <w:p w14:paraId="68717643">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6AFA273B">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4CC6525">
      <w:pPr>
        <w:spacing w:beforeLines="100" w:afterLines="100"/>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5F88C066">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03F8AA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54FD71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27E37B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auto"/>
                <w:szCs w:val="21"/>
                <w:highlight w:val="none"/>
              </w:rPr>
            </w:pPr>
          </w:p>
        </w:tc>
        <w:tc>
          <w:tcPr>
            <w:tcW w:w="1551" w:type="dxa"/>
            <w:vAlign w:val="center"/>
          </w:tcPr>
          <w:p w14:paraId="55E3CFC9">
            <w:pPr>
              <w:spacing w:line="360" w:lineRule="auto"/>
              <w:jc w:val="center"/>
              <w:rPr>
                <w:rFonts w:ascii="宋体" w:hAnsi="宋体" w:cs="宋体"/>
                <w:color w:val="auto"/>
                <w:szCs w:val="21"/>
                <w:highlight w:val="none"/>
              </w:rPr>
            </w:pPr>
          </w:p>
        </w:tc>
        <w:tc>
          <w:tcPr>
            <w:tcW w:w="3382" w:type="dxa"/>
            <w:vAlign w:val="center"/>
          </w:tcPr>
          <w:p w14:paraId="15EF0A13">
            <w:pPr>
              <w:spacing w:line="360" w:lineRule="auto"/>
              <w:jc w:val="center"/>
              <w:rPr>
                <w:rFonts w:ascii="宋体" w:hAnsi="宋体" w:cs="宋体"/>
                <w:color w:val="auto"/>
                <w:szCs w:val="21"/>
                <w:highlight w:val="none"/>
              </w:rPr>
            </w:pPr>
          </w:p>
        </w:tc>
        <w:tc>
          <w:tcPr>
            <w:tcW w:w="2452" w:type="dxa"/>
            <w:vAlign w:val="center"/>
          </w:tcPr>
          <w:p w14:paraId="6A41B775">
            <w:pPr>
              <w:spacing w:line="360" w:lineRule="auto"/>
              <w:jc w:val="center"/>
              <w:rPr>
                <w:rFonts w:ascii="宋体" w:hAnsi="宋体" w:cs="宋体"/>
                <w:color w:val="auto"/>
                <w:szCs w:val="21"/>
                <w:highlight w:val="none"/>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auto"/>
                <w:szCs w:val="21"/>
                <w:highlight w:val="none"/>
              </w:rPr>
            </w:pPr>
          </w:p>
        </w:tc>
        <w:tc>
          <w:tcPr>
            <w:tcW w:w="1551" w:type="dxa"/>
            <w:vAlign w:val="center"/>
          </w:tcPr>
          <w:p w14:paraId="6EF3034D">
            <w:pPr>
              <w:spacing w:line="360" w:lineRule="auto"/>
              <w:jc w:val="center"/>
              <w:rPr>
                <w:rFonts w:ascii="宋体" w:hAnsi="宋体" w:cs="宋体"/>
                <w:color w:val="auto"/>
                <w:szCs w:val="21"/>
                <w:highlight w:val="none"/>
              </w:rPr>
            </w:pPr>
          </w:p>
        </w:tc>
        <w:tc>
          <w:tcPr>
            <w:tcW w:w="3382" w:type="dxa"/>
            <w:vAlign w:val="center"/>
          </w:tcPr>
          <w:p w14:paraId="73B1A1A6">
            <w:pPr>
              <w:spacing w:line="360" w:lineRule="auto"/>
              <w:jc w:val="center"/>
              <w:rPr>
                <w:rFonts w:ascii="宋体" w:hAnsi="宋体" w:cs="宋体"/>
                <w:color w:val="auto"/>
                <w:szCs w:val="21"/>
                <w:highlight w:val="none"/>
              </w:rPr>
            </w:pPr>
          </w:p>
        </w:tc>
        <w:tc>
          <w:tcPr>
            <w:tcW w:w="2452" w:type="dxa"/>
            <w:vAlign w:val="center"/>
          </w:tcPr>
          <w:p w14:paraId="5C96C55B">
            <w:pPr>
              <w:spacing w:line="360" w:lineRule="auto"/>
              <w:jc w:val="center"/>
              <w:rPr>
                <w:rFonts w:ascii="宋体" w:hAnsi="宋体" w:cs="宋体"/>
                <w:color w:val="auto"/>
                <w:szCs w:val="21"/>
                <w:highlight w:val="none"/>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7AA8876">
            <w:pPr>
              <w:spacing w:line="360" w:lineRule="auto"/>
              <w:jc w:val="center"/>
              <w:rPr>
                <w:rFonts w:ascii="宋体" w:hAnsi="宋体" w:cs="宋体"/>
                <w:color w:val="auto"/>
                <w:szCs w:val="21"/>
                <w:highlight w:val="none"/>
              </w:rPr>
            </w:pPr>
          </w:p>
        </w:tc>
        <w:tc>
          <w:tcPr>
            <w:tcW w:w="1551" w:type="dxa"/>
            <w:vAlign w:val="center"/>
          </w:tcPr>
          <w:p w14:paraId="4A25B78C">
            <w:pPr>
              <w:spacing w:line="360" w:lineRule="auto"/>
              <w:jc w:val="center"/>
              <w:rPr>
                <w:rFonts w:ascii="宋体" w:hAnsi="宋体" w:cs="宋体"/>
                <w:color w:val="auto"/>
                <w:szCs w:val="21"/>
                <w:highlight w:val="none"/>
              </w:rPr>
            </w:pPr>
          </w:p>
        </w:tc>
        <w:tc>
          <w:tcPr>
            <w:tcW w:w="3382" w:type="dxa"/>
            <w:vAlign w:val="center"/>
          </w:tcPr>
          <w:p w14:paraId="3291D3E8">
            <w:pPr>
              <w:spacing w:line="360" w:lineRule="auto"/>
              <w:jc w:val="center"/>
              <w:rPr>
                <w:rFonts w:ascii="宋体" w:hAnsi="宋体" w:cs="宋体"/>
                <w:color w:val="auto"/>
                <w:szCs w:val="21"/>
                <w:highlight w:val="none"/>
              </w:rPr>
            </w:pPr>
          </w:p>
        </w:tc>
        <w:tc>
          <w:tcPr>
            <w:tcW w:w="2452" w:type="dxa"/>
            <w:vAlign w:val="center"/>
          </w:tcPr>
          <w:p w14:paraId="2CE4B7F5">
            <w:pPr>
              <w:spacing w:line="360" w:lineRule="auto"/>
              <w:jc w:val="center"/>
              <w:rPr>
                <w:rFonts w:ascii="宋体" w:hAnsi="宋体" w:cs="宋体"/>
                <w:color w:val="auto"/>
                <w:szCs w:val="21"/>
                <w:highlight w:val="none"/>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6498FC3">
            <w:pPr>
              <w:spacing w:line="360" w:lineRule="auto"/>
              <w:jc w:val="center"/>
              <w:rPr>
                <w:rFonts w:ascii="宋体" w:hAnsi="宋体" w:cs="宋体"/>
                <w:color w:val="auto"/>
                <w:szCs w:val="21"/>
                <w:highlight w:val="none"/>
              </w:rPr>
            </w:pPr>
          </w:p>
        </w:tc>
        <w:tc>
          <w:tcPr>
            <w:tcW w:w="1551" w:type="dxa"/>
            <w:vAlign w:val="center"/>
          </w:tcPr>
          <w:p w14:paraId="547832E9">
            <w:pPr>
              <w:spacing w:line="360" w:lineRule="auto"/>
              <w:jc w:val="center"/>
              <w:rPr>
                <w:rFonts w:ascii="宋体" w:hAnsi="宋体" w:cs="宋体"/>
                <w:color w:val="auto"/>
                <w:szCs w:val="21"/>
                <w:highlight w:val="none"/>
              </w:rPr>
            </w:pPr>
          </w:p>
        </w:tc>
        <w:tc>
          <w:tcPr>
            <w:tcW w:w="3382" w:type="dxa"/>
            <w:vAlign w:val="center"/>
          </w:tcPr>
          <w:p w14:paraId="57299DB7">
            <w:pPr>
              <w:spacing w:line="360" w:lineRule="auto"/>
              <w:jc w:val="center"/>
              <w:rPr>
                <w:rFonts w:ascii="宋体" w:hAnsi="宋体" w:cs="宋体"/>
                <w:color w:val="auto"/>
                <w:szCs w:val="21"/>
                <w:highlight w:val="none"/>
              </w:rPr>
            </w:pPr>
          </w:p>
        </w:tc>
        <w:tc>
          <w:tcPr>
            <w:tcW w:w="2452" w:type="dxa"/>
            <w:vAlign w:val="center"/>
          </w:tcPr>
          <w:p w14:paraId="5BBB0062">
            <w:pPr>
              <w:spacing w:line="360" w:lineRule="auto"/>
              <w:jc w:val="center"/>
              <w:rPr>
                <w:rFonts w:ascii="宋体" w:hAnsi="宋体" w:cs="宋体"/>
                <w:color w:val="auto"/>
                <w:szCs w:val="21"/>
                <w:highlight w:val="none"/>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7706CA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4C2176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43CA02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auto"/>
                <w:szCs w:val="21"/>
                <w:highlight w:val="none"/>
              </w:rPr>
            </w:pPr>
          </w:p>
        </w:tc>
        <w:tc>
          <w:tcPr>
            <w:tcW w:w="1551" w:type="dxa"/>
            <w:vAlign w:val="center"/>
          </w:tcPr>
          <w:p w14:paraId="016347A8">
            <w:pPr>
              <w:spacing w:line="360" w:lineRule="auto"/>
              <w:jc w:val="center"/>
              <w:rPr>
                <w:rFonts w:ascii="宋体" w:hAnsi="宋体" w:cs="宋体"/>
                <w:color w:val="auto"/>
                <w:szCs w:val="21"/>
                <w:highlight w:val="none"/>
              </w:rPr>
            </w:pPr>
          </w:p>
        </w:tc>
        <w:tc>
          <w:tcPr>
            <w:tcW w:w="3382" w:type="dxa"/>
            <w:vAlign w:val="center"/>
          </w:tcPr>
          <w:p w14:paraId="26DD3CB9">
            <w:pPr>
              <w:spacing w:line="360" w:lineRule="auto"/>
              <w:jc w:val="center"/>
              <w:rPr>
                <w:rFonts w:ascii="宋体" w:hAnsi="宋体" w:cs="宋体"/>
                <w:color w:val="auto"/>
                <w:szCs w:val="21"/>
                <w:highlight w:val="none"/>
              </w:rPr>
            </w:pPr>
          </w:p>
        </w:tc>
        <w:tc>
          <w:tcPr>
            <w:tcW w:w="2452" w:type="dxa"/>
            <w:vAlign w:val="center"/>
          </w:tcPr>
          <w:p w14:paraId="396D49E6">
            <w:pPr>
              <w:spacing w:line="360" w:lineRule="auto"/>
              <w:jc w:val="center"/>
              <w:rPr>
                <w:rFonts w:ascii="宋体" w:hAnsi="宋体" w:cs="宋体"/>
                <w:color w:val="auto"/>
                <w:szCs w:val="21"/>
                <w:highlight w:val="none"/>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auto"/>
                <w:szCs w:val="21"/>
                <w:highlight w:val="none"/>
              </w:rPr>
            </w:pPr>
          </w:p>
        </w:tc>
        <w:tc>
          <w:tcPr>
            <w:tcW w:w="1551" w:type="dxa"/>
            <w:vAlign w:val="center"/>
          </w:tcPr>
          <w:p w14:paraId="1E920D66">
            <w:pPr>
              <w:spacing w:line="360" w:lineRule="auto"/>
              <w:jc w:val="center"/>
              <w:rPr>
                <w:rFonts w:ascii="宋体" w:hAnsi="宋体" w:cs="宋体"/>
                <w:color w:val="auto"/>
                <w:szCs w:val="21"/>
                <w:highlight w:val="none"/>
              </w:rPr>
            </w:pPr>
          </w:p>
        </w:tc>
        <w:tc>
          <w:tcPr>
            <w:tcW w:w="3382" w:type="dxa"/>
            <w:vAlign w:val="center"/>
          </w:tcPr>
          <w:p w14:paraId="424CD9DD">
            <w:pPr>
              <w:spacing w:line="360" w:lineRule="auto"/>
              <w:jc w:val="center"/>
              <w:rPr>
                <w:rFonts w:ascii="宋体" w:hAnsi="宋体" w:cs="宋体"/>
                <w:color w:val="auto"/>
                <w:szCs w:val="21"/>
                <w:highlight w:val="none"/>
              </w:rPr>
            </w:pPr>
          </w:p>
        </w:tc>
        <w:tc>
          <w:tcPr>
            <w:tcW w:w="2452" w:type="dxa"/>
            <w:vAlign w:val="center"/>
          </w:tcPr>
          <w:p w14:paraId="31522C5F">
            <w:pPr>
              <w:spacing w:line="360" w:lineRule="auto"/>
              <w:jc w:val="center"/>
              <w:rPr>
                <w:rFonts w:ascii="宋体" w:hAnsi="宋体" w:cs="宋体"/>
                <w:color w:val="auto"/>
                <w:szCs w:val="21"/>
                <w:highlight w:val="none"/>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auto"/>
                <w:szCs w:val="21"/>
                <w:highlight w:val="none"/>
              </w:rPr>
            </w:pPr>
          </w:p>
        </w:tc>
        <w:tc>
          <w:tcPr>
            <w:tcW w:w="1551" w:type="dxa"/>
            <w:vAlign w:val="center"/>
          </w:tcPr>
          <w:p w14:paraId="79C6C445">
            <w:pPr>
              <w:spacing w:line="360" w:lineRule="auto"/>
              <w:jc w:val="center"/>
              <w:rPr>
                <w:rFonts w:ascii="宋体" w:hAnsi="宋体" w:cs="宋体"/>
                <w:color w:val="auto"/>
                <w:szCs w:val="21"/>
                <w:highlight w:val="none"/>
              </w:rPr>
            </w:pPr>
          </w:p>
        </w:tc>
        <w:tc>
          <w:tcPr>
            <w:tcW w:w="3382" w:type="dxa"/>
            <w:vAlign w:val="center"/>
          </w:tcPr>
          <w:p w14:paraId="723D82AB">
            <w:pPr>
              <w:spacing w:line="360" w:lineRule="auto"/>
              <w:jc w:val="center"/>
              <w:rPr>
                <w:rFonts w:ascii="宋体" w:hAnsi="宋体" w:cs="宋体"/>
                <w:color w:val="auto"/>
                <w:szCs w:val="21"/>
                <w:highlight w:val="none"/>
              </w:rPr>
            </w:pPr>
          </w:p>
        </w:tc>
        <w:tc>
          <w:tcPr>
            <w:tcW w:w="2452" w:type="dxa"/>
            <w:vAlign w:val="center"/>
          </w:tcPr>
          <w:p w14:paraId="34B5F650">
            <w:pPr>
              <w:spacing w:line="360" w:lineRule="auto"/>
              <w:jc w:val="center"/>
              <w:rPr>
                <w:rFonts w:ascii="宋体" w:hAnsi="宋体" w:cs="宋体"/>
                <w:color w:val="auto"/>
                <w:szCs w:val="21"/>
                <w:highlight w:val="none"/>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F3C7C6">
            <w:pPr>
              <w:spacing w:line="360" w:lineRule="auto"/>
              <w:jc w:val="center"/>
              <w:rPr>
                <w:rFonts w:ascii="宋体" w:hAnsi="宋体" w:cs="宋体"/>
                <w:color w:val="auto"/>
                <w:szCs w:val="21"/>
                <w:highlight w:val="none"/>
              </w:rPr>
            </w:pPr>
          </w:p>
        </w:tc>
        <w:tc>
          <w:tcPr>
            <w:tcW w:w="1551" w:type="dxa"/>
            <w:vAlign w:val="center"/>
          </w:tcPr>
          <w:p w14:paraId="345EEADC">
            <w:pPr>
              <w:spacing w:line="360" w:lineRule="auto"/>
              <w:jc w:val="center"/>
              <w:rPr>
                <w:rFonts w:ascii="宋体" w:hAnsi="宋体" w:cs="宋体"/>
                <w:color w:val="auto"/>
                <w:szCs w:val="21"/>
                <w:highlight w:val="none"/>
              </w:rPr>
            </w:pPr>
          </w:p>
        </w:tc>
        <w:tc>
          <w:tcPr>
            <w:tcW w:w="3382" w:type="dxa"/>
            <w:vAlign w:val="center"/>
          </w:tcPr>
          <w:p w14:paraId="2B0DA067">
            <w:pPr>
              <w:spacing w:line="360" w:lineRule="auto"/>
              <w:jc w:val="center"/>
              <w:rPr>
                <w:rFonts w:ascii="宋体" w:hAnsi="宋体" w:cs="宋体"/>
                <w:color w:val="auto"/>
                <w:szCs w:val="21"/>
                <w:highlight w:val="none"/>
              </w:rPr>
            </w:pPr>
          </w:p>
        </w:tc>
        <w:tc>
          <w:tcPr>
            <w:tcW w:w="2452" w:type="dxa"/>
            <w:vAlign w:val="center"/>
          </w:tcPr>
          <w:p w14:paraId="60E783C3">
            <w:pPr>
              <w:spacing w:line="360" w:lineRule="auto"/>
              <w:jc w:val="center"/>
              <w:rPr>
                <w:rFonts w:ascii="宋体" w:hAnsi="宋体" w:cs="宋体"/>
                <w:color w:val="auto"/>
                <w:szCs w:val="21"/>
                <w:highlight w:val="none"/>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auto"/>
                <w:szCs w:val="21"/>
                <w:highlight w:val="none"/>
              </w:rPr>
            </w:pPr>
          </w:p>
        </w:tc>
        <w:tc>
          <w:tcPr>
            <w:tcW w:w="1551" w:type="dxa"/>
            <w:vAlign w:val="center"/>
          </w:tcPr>
          <w:p w14:paraId="71EE135D">
            <w:pPr>
              <w:spacing w:line="360" w:lineRule="auto"/>
              <w:jc w:val="center"/>
              <w:rPr>
                <w:rFonts w:ascii="宋体" w:hAnsi="宋体" w:cs="宋体"/>
                <w:color w:val="auto"/>
                <w:szCs w:val="21"/>
                <w:highlight w:val="none"/>
              </w:rPr>
            </w:pPr>
          </w:p>
        </w:tc>
        <w:tc>
          <w:tcPr>
            <w:tcW w:w="3382" w:type="dxa"/>
            <w:vAlign w:val="center"/>
          </w:tcPr>
          <w:p w14:paraId="778485F6">
            <w:pPr>
              <w:spacing w:line="360" w:lineRule="auto"/>
              <w:jc w:val="center"/>
              <w:rPr>
                <w:rFonts w:ascii="宋体" w:hAnsi="宋体" w:cs="宋体"/>
                <w:color w:val="auto"/>
                <w:szCs w:val="21"/>
                <w:highlight w:val="none"/>
              </w:rPr>
            </w:pPr>
          </w:p>
        </w:tc>
        <w:tc>
          <w:tcPr>
            <w:tcW w:w="2452" w:type="dxa"/>
            <w:vAlign w:val="center"/>
          </w:tcPr>
          <w:p w14:paraId="5EE815B8">
            <w:pPr>
              <w:spacing w:line="360" w:lineRule="auto"/>
              <w:jc w:val="center"/>
              <w:rPr>
                <w:rFonts w:ascii="宋体" w:hAnsi="宋体" w:cs="宋体"/>
                <w:color w:val="auto"/>
                <w:szCs w:val="21"/>
                <w:highlight w:val="none"/>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auto"/>
                <w:szCs w:val="21"/>
                <w:highlight w:val="none"/>
              </w:rPr>
            </w:pPr>
          </w:p>
        </w:tc>
        <w:tc>
          <w:tcPr>
            <w:tcW w:w="1551" w:type="dxa"/>
            <w:vAlign w:val="center"/>
          </w:tcPr>
          <w:p w14:paraId="4D4F4C1E">
            <w:pPr>
              <w:spacing w:line="360" w:lineRule="auto"/>
              <w:jc w:val="center"/>
              <w:rPr>
                <w:rFonts w:ascii="宋体" w:hAnsi="宋体" w:cs="宋体"/>
                <w:color w:val="auto"/>
                <w:szCs w:val="21"/>
                <w:highlight w:val="none"/>
              </w:rPr>
            </w:pPr>
          </w:p>
        </w:tc>
        <w:tc>
          <w:tcPr>
            <w:tcW w:w="3382" w:type="dxa"/>
            <w:vAlign w:val="center"/>
          </w:tcPr>
          <w:p w14:paraId="426BA4BE">
            <w:pPr>
              <w:spacing w:line="360" w:lineRule="auto"/>
              <w:jc w:val="center"/>
              <w:rPr>
                <w:rFonts w:ascii="宋体" w:hAnsi="宋体" w:cs="宋体"/>
                <w:color w:val="auto"/>
                <w:szCs w:val="21"/>
                <w:highlight w:val="none"/>
              </w:rPr>
            </w:pPr>
          </w:p>
        </w:tc>
        <w:tc>
          <w:tcPr>
            <w:tcW w:w="2452" w:type="dxa"/>
            <w:vAlign w:val="center"/>
          </w:tcPr>
          <w:p w14:paraId="3D55F784">
            <w:pPr>
              <w:spacing w:line="360" w:lineRule="auto"/>
              <w:jc w:val="center"/>
              <w:rPr>
                <w:rFonts w:ascii="宋体" w:hAnsi="宋体" w:cs="宋体"/>
                <w:color w:val="auto"/>
                <w:szCs w:val="21"/>
                <w:highlight w:val="none"/>
              </w:rPr>
            </w:pPr>
          </w:p>
        </w:tc>
      </w:tr>
    </w:tbl>
    <w:p w14:paraId="632FA82B">
      <w:pPr>
        <w:rPr>
          <w:b/>
          <w:color w:val="auto"/>
          <w:sz w:val="24"/>
          <w:highlight w:val="none"/>
        </w:rPr>
      </w:pPr>
      <w:r>
        <w:rPr>
          <w:b/>
          <w:color w:val="auto"/>
          <w:sz w:val="24"/>
          <w:highlight w:val="none"/>
        </w:rPr>
        <w:br w:type="page"/>
      </w:r>
    </w:p>
    <w:p w14:paraId="486702D5">
      <w:pPr>
        <w:spacing w:before="46"/>
        <w:ind w:left="3125" w:right="3192"/>
        <w:jc w:val="center"/>
        <w:rPr>
          <w:b/>
          <w:color w:val="auto"/>
          <w:sz w:val="24"/>
          <w:highlight w:val="none"/>
        </w:rPr>
      </w:pPr>
      <w:r>
        <w:rPr>
          <w:b/>
          <w:color w:val="auto"/>
          <w:sz w:val="24"/>
          <w:highlight w:val="none"/>
        </w:rPr>
        <w:t>投标文件目录</w:t>
      </w:r>
    </w:p>
    <w:p w14:paraId="0C67C541">
      <w:pPr>
        <w:pStyle w:val="8"/>
        <w:spacing w:before="8"/>
        <w:rPr>
          <w:b/>
          <w:color w:val="auto"/>
          <w:sz w:val="12"/>
          <w:highlight w:val="none"/>
        </w:rPr>
      </w:pPr>
    </w:p>
    <w:p w14:paraId="7D476226">
      <w:pPr>
        <w:spacing w:line="360" w:lineRule="auto"/>
        <w:rPr>
          <w:color w:val="auto"/>
          <w:highlight w:val="none"/>
        </w:rPr>
      </w:pPr>
      <w:r>
        <w:rPr>
          <w:color w:val="auto"/>
          <w:highlight w:val="none"/>
        </w:rPr>
        <w:t>一、投标函</w:t>
      </w:r>
    </w:p>
    <w:p w14:paraId="45EACDA8">
      <w:pPr>
        <w:spacing w:line="360" w:lineRule="auto"/>
        <w:rPr>
          <w:color w:val="auto"/>
          <w:highlight w:val="none"/>
        </w:rPr>
      </w:pPr>
      <w:r>
        <w:rPr>
          <w:color w:val="auto"/>
          <w:highlight w:val="none"/>
        </w:rPr>
        <w:t>二、开标一览表</w:t>
      </w:r>
    </w:p>
    <w:p w14:paraId="3E489E5D">
      <w:pPr>
        <w:spacing w:line="360" w:lineRule="auto"/>
        <w:rPr>
          <w:color w:val="auto"/>
          <w:highlight w:val="none"/>
        </w:rPr>
      </w:pPr>
      <w:r>
        <w:rPr>
          <w:color w:val="auto"/>
          <w:highlight w:val="none"/>
        </w:rPr>
        <w:t>三、分项报价表</w:t>
      </w:r>
    </w:p>
    <w:p w14:paraId="1041DCC8">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FC5BCBB">
      <w:pPr>
        <w:spacing w:line="360" w:lineRule="auto"/>
        <w:rPr>
          <w:color w:val="auto"/>
          <w:highlight w:val="none"/>
        </w:rPr>
      </w:pPr>
      <w:r>
        <w:rPr>
          <w:color w:val="auto"/>
          <w:highlight w:val="none"/>
        </w:rPr>
        <w:t>五、</w:t>
      </w:r>
      <w:r>
        <w:rPr>
          <w:rFonts w:hint="eastAsia"/>
          <w:color w:val="auto"/>
          <w:highlight w:val="none"/>
        </w:rPr>
        <w:t>法定代表人授权书</w:t>
      </w:r>
    </w:p>
    <w:p w14:paraId="0D4631DD">
      <w:pPr>
        <w:spacing w:line="360" w:lineRule="auto"/>
        <w:rPr>
          <w:color w:val="auto"/>
          <w:highlight w:val="none"/>
        </w:rPr>
      </w:pPr>
      <w:r>
        <w:rPr>
          <w:color w:val="auto"/>
          <w:highlight w:val="none"/>
        </w:rPr>
        <w:t>六、</w:t>
      </w:r>
      <w:r>
        <w:rPr>
          <w:rFonts w:hint="eastAsia"/>
          <w:color w:val="auto"/>
          <w:highlight w:val="none"/>
        </w:rPr>
        <w:t>投标保证金</w:t>
      </w:r>
    </w:p>
    <w:p w14:paraId="5375D845">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1025937D">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53C7BED0">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262622A5">
      <w:pPr>
        <w:spacing w:line="360" w:lineRule="auto"/>
        <w:rPr>
          <w:color w:val="auto"/>
          <w:highlight w:val="none"/>
        </w:rPr>
      </w:pPr>
      <w:r>
        <w:rPr>
          <w:color w:val="auto"/>
          <w:highlight w:val="none"/>
        </w:rPr>
        <w:t>十、</w:t>
      </w:r>
      <w:r>
        <w:rPr>
          <w:rFonts w:hint="eastAsia"/>
          <w:color w:val="auto"/>
          <w:highlight w:val="none"/>
        </w:rPr>
        <w:t>投标人业绩情况表</w:t>
      </w:r>
    </w:p>
    <w:p w14:paraId="2E6F0493">
      <w:pPr>
        <w:spacing w:line="360" w:lineRule="auto"/>
        <w:rPr>
          <w:color w:val="auto"/>
          <w:highlight w:val="none"/>
        </w:rPr>
      </w:pPr>
      <w:r>
        <w:rPr>
          <w:color w:val="auto"/>
          <w:highlight w:val="none"/>
        </w:rPr>
        <w:t>十一、</w:t>
      </w:r>
      <w:r>
        <w:rPr>
          <w:rFonts w:hint="eastAsia"/>
          <w:color w:val="auto"/>
          <w:highlight w:val="none"/>
        </w:rPr>
        <w:t>技术要求响应表</w:t>
      </w:r>
    </w:p>
    <w:p w14:paraId="2E784BD1">
      <w:pPr>
        <w:spacing w:line="360" w:lineRule="auto"/>
        <w:rPr>
          <w:color w:val="auto"/>
          <w:highlight w:val="none"/>
        </w:rPr>
      </w:pPr>
      <w:r>
        <w:rPr>
          <w:color w:val="auto"/>
          <w:highlight w:val="none"/>
        </w:rPr>
        <w:t>十二、</w:t>
      </w:r>
      <w:r>
        <w:rPr>
          <w:rFonts w:hint="eastAsia"/>
          <w:color w:val="auto"/>
          <w:highlight w:val="none"/>
        </w:rPr>
        <w:t>商务要求响应表</w:t>
      </w:r>
    </w:p>
    <w:p w14:paraId="736289A3">
      <w:pPr>
        <w:spacing w:line="360" w:lineRule="auto"/>
        <w:rPr>
          <w:color w:val="auto"/>
          <w:highlight w:val="none"/>
        </w:rPr>
      </w:pPr>
      <w:r>
        <w:rPr>
          <w:color w:val="auto"/>
          <w:highlight w:val="none"/>
        </w:rPr>
        <w:t>十三、</w:t>
      </w:r>
      <w:r>
        <w:rPr>
          <w:rFonts w:hint="eastAsia"/>
          <w:color w:val="auto"/>
          <w:highlight w:val="none"/>
        </w:rPr>
        <w:t>履约进度计划表</w:t>
      </w:r>
    </w:p>
    <w:p w14:paraId="75E93B25">
      <w:pPr>
        <w:spacing w:line="360" w:lineRule="auto"/>
        <w:rPr>
          <w:color w:val="auto"/>
          <w:highlight w:val="none"/>
        </w:rPr>
      </w:pPr>
      <w:r>
        <w:rPr>
          <w:color w:val="auto"/>
          <w:highlight w:val="none"/>
        </w:rPr>
        <w:t>十四、</w:t>
      </w:r>
      <w:r>
        <w:rPr>
          <w:rFonts w:hint="eastAsia"/>
          <w:color w:val="auto"/>
          <w:highlight w:val="none"/>
        </w:rPr>
        <w:t>各类证明材料</w:t>
      </w:r>
    </w:p>
    <w:p w14:paraId="152480C9">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637E0C76">
      <w:pPr>
        <w:spacing w:line="360" w:lineRule="auto"/>
        <w:rPr>
          <w:color w:val="auto"/>
          <w:highlight w:val="none"/>
        </w:rPr>
      </w:pPr>
      <w:r>
        <w:rPr>
          <w:color w:val="auto"/>
          <w:highlight w:val="none"/>
        </w:rPr>
        <w:t>十六、</w:t>
      </w:r>
      <w:r>
        <w:rPr>
          <w:rFonts w:hint="eastAsia"/>
          <w:color w:val="auto"/>
          <w:highlight w:val="none"/>
        </w:rPr>
        <w:t>需要</w:t>
      </w:r>
      <w:r>
        <w:rPr>
          <w:rFonts w:hint="eastAsia"/>
          <w:color w:val="auto"/>
          <w:highlight w:val="none"/>
          <w:lang w:eastAsia="zh-CN"/>
        </w:rPr>
        <w:t>采购人</w:t>
      </w:r>
      <w:r>
        <w:rPr>
          <w:rFonts w:hint="eastAsia"/>
          <w:color w:val="auto"/>
          <w:highlight w:val="none"/>
        </w:rPr>
        <w:t>提供的附加条件</w:t>
      </w:r>
    </w:p>
    <w:p w14:paraId="0C1687A9">
      <w:pPr>
        <w:rPr>
          <w:b/>
          <w:bCs/>
          <w:color w:val="auto"/>
          <w:sz w:val="24"/>
          <w:szCs w:val="32"/>
          <w:highlight w:val="none"/>
        </w:rPr>
      </w:pPr>
      <w:r>
        <w:rPr>
          <w:b/>
          <w:bCs/>
          <w:color w:val="auto"/>
          <w:sz w:val="24"/>
          <w:szCs w:val="32"/>
          <w:highlight w:val="none"/>
        </w:rPr>
        <w:br w:type="page"/>
      </w:r>
    </w:p>
    <w:p w14:paraId="72A7AE8D">
      <w:pPr>
        <w:rPr>
          <w:b/>
          <w:bCs/>
          <w:color w:val="auto"/>
          <w:sz w:val="24"/>
          <w:szCs w:val="32"/>
          <w:highlight w:val="none"/>
        </w:rPr>
      </w:pPr>
      <w:r>
        <w:rPr>
          <w:b/>
          <w:bCs/>
          <w:color w:val="auto"/>
          <w:sz w:val="24"/>
          <w:szCs w:val="32"/>
          <w:highlight w:val="none"/>
        </w:rPr>
        <w:t>格式一：</w:t>
      </w:r>
    </w:p>
    <w:p w14:paraId="3244F198">
      <w:pPr>
        <w:pStyle w:val="8"/>
        <w:jc w:val="center"/>
        <w:rPr>
          <w:b/>
          <w:color w:val="auto"/>
          <w:sz w:val="12"/>
          <w:highlight w:val="none"/>
        </w:rPr>
      </w:pPr>
      <w:r>
        <w:rPr>
          <w:b/>
          <w:color w:val="auto"/>
          <w:highlight w:val="none"/>
        </w:rPr>
        <w:t>投标函</w:t>
      </w:r>
    </w:p>
    <w:p w14:paraId="4BF9FA09">
      <w:pPr>
        <w:pStyle w:val="8"/>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7A89415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项目的招标[项目编号为：</w:t>
      </w:r>
      <w:r>
        <w:rPr>
          <w:rFonts w:hint="eastAsia"/>
          <w:color w:val="auto"/>
          <w:sz w:val="21"/>
          <w:szCs w:val="21"/>
          <w:highlight w:val="none"/>
          <w:lang w:val="en-US"/>
        </w:rPr>
        <w:t xml:space="preserve">     </w:t>
      </w:r>
      <w:r>
        <w:rPr>
          <w:rFonts w:hint="eastAsia"/>
          <w:color w:val="auto"/>
          <w:sz w:val="21"/>
          <w:szCs w:val="21"/>
          <w:highlight w:val="none"/>
        </w:rPr>
        <w:t>]，我方愿参与投标。</w:t>
      </w:r>
    </w:p>
    <w:p w14:paraId="7CE7C06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项目的招标文件的全部内容。</w:t>
      </w:r>
    </w:p>
    <w:p w14:paraId="4A2D06C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lang w:eastAsia="zh-CN"/>
        </w:rPr>
        <w:t>（</w:t>
      </w:r>
      <w:r>
        <w:rPr>
          <w:rFonts w:hint="eastAsia"/>
          <w:color w:val="auto"/>
          <w:sz w:val="21"/>
          <w:szCs w:val="21"/>
          <w:highlight w:val="none"/>
          <w:u w:val="single"/>
        </w:rPr>
        <w:t>投标人名称)</w:t>
      </w:r>
      <w:r>
        <w:rPr>
          <w:rFonts w:hint="eastAsia"/>
          <w:color w:val="auto"/>
          <w:sz w:val="21"/>
          <w:szCs w:val="21"/>
          <w:highlight w:val="none"/>
        </w:rPr>
        <w:t>作为投标人正式授权</w:t>
      </w:r>
      <w:r>
        <w:rPr>
          <w:rFonts w:hint="eastAsia"/>
          <w:color w:val="auto"/>
          <w:sz w:val="21"/>
          <w:szCs w:val="21"/>
          <w:highlight w:val="none"/>
          <w:u w:val="single"/>
          <w:lang w:eastAsia="zh-CN"/>
        </w:rPr>
        <w:t>（</w:t>
      </w:r>
      <w:r>
        <w:rPr>
          <w:rFonts w:hint="eastAsia"/>
          <w:color w:val="auto"/>
          <w:sz w:val="21"/>
          <w:szCs w:val="21"/>
          <w:highlight w:val="none"/>
          <w:u w:val="single"/>
        </w:rPr>
        <w:t>授权代表全名,职务)</w:t>
      </w:r>
      <w:r>
        <w:rPr>
          <w:rFonts w:hint="eastAsia"/>
          <w:color w:val="auto"/>
          <w:sz w:val="21"/>
          <w:szCs w:val="21"/>
          <w:highlight w:val="none"/>
        </w:rPr>
        <w:t>代表我方全权处理有关本投标的一切事宜。我方已完全明白招标文件的所有条款要求，并申明如下：</w:t>
      </w:r>
    </w:p>
    <w:p w14:paraId="321440E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（一）按招标文件提供的全部货物与相关服务的投标总价详见《开标一览表》。</w:t>
      </w:r>
    </w:p>
    <w:p w14:paraId="3D955EB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（三）我方明白并同意，在规定的开标日之后，投标有效期之内撤回投标或中标后不按规定与</w:t>
      </w:r>
      <w:r>
        <w:rPr>
          <w:rFonts w:hint="eastAsia"/>
          <w:color w:val="auto"/>
          <w:sz w:val="21"/>
          <w:szCs w:val="21"/>
          <w:highlight w:val="none"/>
          <w:lang w:eastAsia="zh-CN"/>
        </w:rPr>
        <w:t>采购人</w:t>
      </w:r>
      <w:r>
        <w:rPr>
          <w:rFonts w:hint="eastAsia"/>
          <w:color w:val="auto"/>
          <w:sz w:val="21"/>
          <w:szCs w:val="21"/>
          <w:highlight w:val="none"/>
        </w:rPr>
        <w:t>签订合同或不提交履约保证金</w:t>
      </w:r>
      <w:r>
        <w:rPr>
          <w:rFonts w:hint="eastAsia"/>
          <w:color w:val="auto"/>
          <w:w w:val="95"/>
          <w:sz w:val="21"/>
          <w:szCs w:val="21"/>
          <w:highlight w:val="none"/>
        </w:rPr>
        <w:t>,</w:t>
      </w:r>
      <w:r>
        <w:rPr>
          <w:rFonts w:hint="eastAsia"/>
          <w:color w:val="auto"/>
          <w:sz w:val="21"/>
          <w:szCs w:val="21"/>
          <w:highlight w:val="none"/>
        </w:rPr>
        <w:t>则贵方将不予退还投标保证金。</w:t>
      </w:r>
    </w:p>
    <w:p w14:paraId="3FB9166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1C38217E">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（五）我方理解贵方不一定接受最低投标价或任何贵方可能收到的投标。</w:t>
      </w:r>
    </w:p>
    <w:p w14:paraId="34DC04B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（六）我方如果中标，将保证履行招标文件及其澄清、修改文件（如果有）中的全部责任和义务，按质、按量、按期完成《用户需求书》及合同中的全部任务。</w:t>
      </w:r>
    </w:p>
    <w:p w14:paraId="1C724D9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w:t>
      </w:r>
      <w:r>
        <w:rPr>
          <w:rFonts w:hint="eastAsia"/>
          <w:color w:val="auto"/>
          <w:sz w:val="21"/>
          <w:szCs w:val="21"/>
          <w:highlight w:val="none"/>
          <w:lang w:eastAsia="zh-CN"/>
        </w:rPr>
        <w:t>采购人</w:t>
      </w:r>
      <w:r>
        <w:rPr>
          <w:rFonts w:hint="eastAsia"/>
          <w:color w:val="auto"/>
          <w:sz w:val="21"/>
          <w:szCs w:val="21"/>
          <w:highlight w:val="none"/>
        </w:rPr>
        <w:t>、招标代理机构的投标人，在此保证所提交的所有文件和全部说明是真实的和正确的。</w:t>
      </w:r>
    </w:p>
    <w:p w14:paraId="5AAAD59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（八）我方投标报价已包含应向知识产权所有权人支付的所有相关税费，并保证</w:t>
      </w:r>
      <w:r>
        <w:rPr>
          <w:rFonts w:hint="eastAsia"/>
          <w:color w:val="auto"/>
          <w:sz w:val="21"/>
          <w:szCs w:val="21"/>
          <w:highlight w:val="none"/>
          <w:lang w:eastAsia="zh-CN"/>
        </w:rPr>
        <w:t>采购人</w:t>
      </w:r>
      <w:r>
        <w:rPr>
          <w:rFonts w:hint="eastAsia"/>
          <w:color w:val="auto"/>
          <w:sz w:val="21"/>
          <w:szCs w:val="21"/>
          <w:highlight w:val="none"/>
        </w:rPr>
        <w:t>在中国使用我方提供的货物时，如有第三方提出侵犯其知识产权主张的，责任由我方承担。</w:t>
      </w:r>
    </w:p>
    <w:p w14:paraId="6611554C">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w:t>
      </w:r>
      <w:r>
        <w:rPr>
          <w:rFonts w:hint="eastAsia"/>
          <w:color w:val="auto"/>
          <w:sz w:val="21"/>
          <w:szCs w:val="21"/>
          <w:highlight w:val="none"/>
          <w:lang w:eastAsia="zh-CN"/>
        </w:rPr>
        <w:t>采购人</w:t>
      </w:r>
      <w:r>
        <w:rPr>
          <w:rFonts w:hint="eastAsia"/>
          <w:color w:val="auto"/>
          <w:sz w:val="21"/>
          <w:szCs w:val="21"/>
          <w:highlight w:val="none"/>
        </w:rPr>
        <w:t>委托向贵方支付代理服务费，项目总报价已包含代理服务费，如果被确定为中标供应商，承诺向贵方足额支付。（若</w:t>
      </w:r>
      <w:r>
        <w:rPr>
          <w:rFonts w:hint="eastAsia"/>
          <w:color w:val="auto"/>
          <w:sz w:val="21"/>
          <w:szCs w:val="21"/>
          <w:highlight w:val="none"/>
          <w:lang w:eastAsia="zh-CN"/>
        </w:rPr>
        <w:t>采购人</w:t>
      </w:r>
      <w:r>
        <w:rPr>
          <w:rFonts w:hint="eastAsia"/>
          <w:color w:val="auto"/>
          <w:sz w:val="21"/>
          <w:szCs w:val="21"/>
          <w:highlight w:val="none"/>
        </w:rPr>
        <w:t>支付代理服务费，则此条不适用）</w:t>
      </w:r>
    </w:p>
    <w:p w14:paraId="78240BD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（十）我方与其他投标人不存在单位负责人为同一人或者存在直接控股、管理关系。</w:t>
      </w:r>
    </w:p>
    <w:p w14:paraId="4AA72DE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4A98BA4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630583B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w:t>
      </w:r>
      <w:r>
        <w:rPr>
          <w:rFonts w:hint="eastAsia"/>
          <w:color w:val="auto"/>
          <w:sz w:val="21"/>
          <w:szCs w:val="21"/>
          <w:highlight w:val="none"/>
          <w:lang w:val="en-US" w:eastAsia="zh-CN"/>
        </w:rPr>
        <w:t>招标文件</w:t>
      </w:r>
      <w:r>
        <w:rPr>
          <w:rFonts w:hint="eastAsia"/>
          <w:color w:val="auto"/>
          <w:sz w:val="21"/>
          <w:szCs w:val="21"/>
          <w:highlight w:val="none"/>
        </w:rPr>
        <w:t>规定的条件，承诺如下：</w:t>
      </w:r>
    </w:p>
    <w:p w14:paraId="7F0021C5">
      <w:pPr>
        <w:pStyle w:val="24"/>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58107A67">
      <w:pPr>
        <w:pStyle w:val="24"/>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4014197D">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以上内容如有虚假或与事实不符的，评标委员会可将我方做无效投标处理，我方愿意承担相应的法律责任。</w:t>
      </w:r>
    </w:p>
    <w:p w14:paraId="6868EE3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（十四）我方对在本函及投标文件中所作的所有承诺承担法律责任。</w:t>
      </w:r>
    </w:p>
    <w:p w14:paraId="251965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1FA9E32D">
      <w:pPr>
        <w:pStyle w:val="8"/>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0AAC283C">
      <w:pPr>
        <w:pStyle w:val="8"/>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784DA8C2">
      <w:pPr>
        <w:pStyle w:val="8"/>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1B974EB1">
      <w:pPr>
        <w:pStyle w:val="8"/>
        <w:tabs>
          <w:tab w:val="left" w:pos="6766"/>
        </w:tabs>
        <w:autoSpaceDE w:val="0"/>
        <w:autoSpaceDN w:val="0"/>
        <w:spacing w:before="0" w:line="360" w:lineRule="auto"/>
        <w:ind w:left="0" w:firstLine="420" w:firstLineChars="200"/>
        <w:jc w:val="right"/>
        <w:rPr>
          <w:color w:val="auto"/>
          <w:sz w:val="21"/>
          <w:szCs w:val="21"/>
          <w:highlight w:val="none"/>
        </w:rPr>
      </w:pPr>
    </w:p>
    <w:p w14:paraId="2760D569">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法定代表人（或投标人代表）签字或盖章：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759A0731">
      <w:pPr>
        <w:pStyle w:val="8"/>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0B4DF07D">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3AC61178">
      <w:pPr>
        <w:rPr>
          <w:color w:val="auto"/>
          <w:sz w:val="20"/>
          <w:szCs w:val="20"/>
          <w:highlight w:val="none"/>
        </w:rPr>
      </w:pPr>
      <w:r>
        <w:rPr>
          <w:color w:val="auto"/>
          <w:sz w:val="20"/>
          <w:szCs w:val="20"/>
          <w:highlight w:val="none"/>
        </w:rPr>
        <w:br w:type="page"/>
      </w:r>
    </w:p>
    <w:p w14:paraId="589908D5">
      <w:pPr>
        <w:rPr>
          <w:b/>
          <w:bCs/>
          <w:color w:val="auto"/>
          <w:sz w:val="24"/>
          <w:szCs w:val="32"/>
          <w:highlight w:val="none"/>
        </w:rPr>
      </w:pPr>
      <w:r>
        <w:rPr>
          <w:rFonts w:hint="eastAsia"/>
          <w:b/>
          <w:bCs/>
          <w:color w:val="auto"/>
          <w:sz w:val="24"/>
          <w:szCs w:val="32"/>
          <w:highlight w:val="none"/>
        </w:rPr>
        <w:t>格式二：</w:t>
      </w:r>
    </w:p>
    <w:p w14:paraId="408160F6">
      <w:pPr>
        <w:pStyle w:val="8"/>
        <w:rPr>
          <w:color w:val="auto"/>
          <w:highlight w:val="none"/>
          <w:lang w:val="en-US"/>
        </w:rPr>
      </w:pPr>
    </w:p>
    <w:p w14:paraId="06DBBD64">
      <w:pPr>
        <w:spacing w:line="360" w:lineRule="auto"/>
        <w:jc w:val="center"/>
        <w:rPr>
          <w:rFonts w:ascii="黑体" w:eastAsia="黑体"/>
          <w:color w:val="auto"/>
          <w:sz w:val="32"/>
          <w:szCs w:val="32"/>
          <w:highlight w:val="none"/>
        </w:rPr>
      </w:pPr>
      <w:r>
        <w:rPr>
          <w:rFonts w:hint="eastAsia" w:ascii="宋体" w:hAnsi="宋体" w:cs="宋体"/>
          <w:b/>
          <w:color w:val="auto"/>
          <w:sz w:val="24"/>
          <w:highlight w:val="none"/>
          <w:lang w:val="zh-CN" w:bidi="zh-CN"/>
        </w:rPr>
        <w:t>开标一览表</w:t>
      </w:r>
    </w:p>
    <w:p w14:paraId="56270432">
      <w:pPr>
        <w:spacing w:line="360" w:lineRule="auto"/>
        <w:rPr>
          <w:color w:val="auto"/>
          <w:highlight w:val="none"/>
        </w:rPr>
      </w:pPr>
    </w:p>
    <w:p w14:paraId="37493F8E">
      <w:pPr>
        <w:spacing w:line="360" w:lineRule="auto"/>
        <w:rPr>
          <w:rFonts w:ascii="宋体" w:hAnsi="宋体"/>
          <w:color w:val="auto"/>
          <w:szCs w:val="21"/>
          <w:highlight w:val="none"/>
        </w:rPr>
      </w:pPr>
      <w:r>
        <w:rPr>
          <w:rFonts w:hint="eastAsia" w:ascii="宋体" w:hAnsi="宋体"/>
          <w:color w:val="auto"/>
          <w:szCs w:val="21"/>
          <w:highlight w:val="none"/>
        </w:rPr>
        <w:t>投标人名称：</w:t>
      </w:r>
    </w:p>
    <w:p w14:paraId="76B42244">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1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7"/>
        <w:gridCol w:w="2079"/>
        <w:gridCol w:w="4479"/>
        <w:gridCol w:w="874"/>
      </w:tblGrid>
      <w:tr w14:paraId="4DE57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8" w:type="pct"/>
            <w:tcBorders>
              <w:top w:val="single" w:color="auto" w:sz="4" w:space="0"/>
              <w:left w:val="single" w:color="auto" w:sz="4" w:space="0"/>
              <w:bottom w:val="single" w:color="auto" w:sz="4" w:space="0"/>
              <w:right w:val="single" w:color="auto" w:sz="4" w:space="0"/>
            </w:tcBorders>
            <w:vAlign w:val="center"/>
          </w:tcPr>
          <w:p w14:paraId="317ACE0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220" w:type="pct"/>
            <w:tcBorders>
              <w:top w:val="single" w:color="auto" w:sz="4" w:space="0"/>
              <w:left w:val="single" w:color="auto" w:sz="4" w:space="0"/>
              <w:bottom w:val="single" w:color="auto" w:sz="4" w:space="0"/>
              <w:right w:val="single" w:color="auto" w:sz="4" w:space="0"/>
            </w:tcBorders>
            <w:vAlign w:val="center"/>
          </w:tcPr>
          <w:p w14:paraId="146D5F5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4478" w:type="dxa"/>
            <w:tcBorders>
              <w:top w:val="single" w:color="auto" w:sz="4" w:space="0"/>
              <w:left w:val="single" w:color="auto" w:sz="4" w:space="0"/>
              <w:bottom w:val="single" w:color="auto" w:sz="4" w:space="0"/>
              <w:right w:val="single" w:color="auto" w:sz="4" w:space="0"/>
            </w:tcBorders>
            <w:vAlign w:val="center"/>
          </w:tcPr>
          <w:p w14:paraId="5C1BACDE">
            <w:pPr>
              <w:spacing w:line="360" w:lineRule="auto"/>
              <w:jc w:val="center"/>
              <w:rPr>
                <w:rFonts w:hint="default" w:ascii="宋体" w:hAnsi="宋体" w:cs="宋体"/>
                <w:b/>
                <w:color w:val="auto"/>
                <w:szCs w:val="21"/>
                <w:highlight w:val="none"/>
                <w:lang w:val="en-US"/>
              </w:rPr>
            </w:pPr>
            <w:r>
              <w:rPr>
                <w:rFonts w:hint="eastAsia" w:ascii="宋体" w:hAnsi="宋体" w:cs="宋体"/>
                <w:b/>
                <w:color w:val="auto"/>
                <w:szCs w:val="21"/>
                <w:highlight w:val="none"/>
                <w:lang w:val="en-US" w:eastAsia="zh-CN"/>
              </w:rPr>
              <w:t>投标下浮率</w:t>
            </w:r>
          </w:p>
        </w:tc>
        <w:tc>
          <w:tcPr>
            <w:tcW w:w="513" w:type="pct"/>
            <w:tcBorders>
              <w:top w:val="single" w:color="auto" w:sz="4" w:space="0"/>
              <w:left w:val="single" w:color="auto" w:sz="4" w:space="0"/>
              <w:bottom w:val="single" w:color="auto" w:sz="4" w:space="0"/>
              <w:right w:val="single" w:color="auto" w:sz="4" w:space="0"/>
            </w:tcBorders>
            <w:vAlign w:val="center"/>
          </w:tcPr>
          <w:p w14:paraId="4C05652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1E64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38" w:type="pct"/>
            <w:tcBorders>
              <w:top w:val="single" w:color="auto" w:sz="4" w:space="0"/>
              <w:left w:val="single" w:color="auto" w:sz="4" w:space="0"/>
              <w:bottom w:val="single" w:color="auto" w:sz="4" w:space="0"/>
              <w:right w:val="single" w:color="auto" w:sz="4" w:space="0"/>
            </w:tcBorders>
            <w:vAlign w:val="center"/>
          </w:tcPr>
          <w:p w14:paraId="17B81221">
            <w:pPr>
              <w:spacing w:line="360" w:lineRule="auto"/>
              <w:jc w:val="center"/>
              <w:rPr>
                <w:rFonts w:ascii="宋体" w:hAnsi="宋体" w:cs="宋体"/>
                <w:color w:val="auto"/>
                <w:szCs w:val="21"/>
                <w:highlight w:val="none"/>
                <w:lang w:val="zh-CN"/>
              </w:rPr>
            </w:pPr>
          </w:p>
        </w:tc>
        <w:tc>
          <w:tcPr>
            <w:tcW w:w="1220" w:type="pct"/>
            <w:tcBorders>
              <w:top w:val="single" w:color="auto" w:sz="4" w:space="0"/>
              <w:left w:val="single" w:color="auto" w:sz="4" w:space="0"/>
              <w:bottom w:val="single" w:color="auto" w:sz="4" w:space="0"/>
              <w:right w:val="single" w:color="auto" w:sz="4" w:space="0"/>
            </w:tcBorders>
            <w:vAlign w:val="center"/>
          </w:tcPr>
          <w:p w14:paraId="1F5F529C">
            <w:pPr>
              <w:spacing w:line="360" w:lineRule="auto"/>
              <w:jc w:val="center"/>
              <w:rPr>
                <w:rFonts w:ascii="宋体" w:hAnsi="宋体" w:cs="宋体"/>
                <w:color w:val="auto"/>
                <w:szCs w:val="21"/>
                <w:highlight w:val="none"/>
                <w:lang w:val="zh-CN"/>
              </w:rPr>
            </w:pPr>
          </w:p>
        </w:tc>
        <w:tc>
          <w:tcPr>
            <w:tcW w:w="4478" w:type="dxa"/>
            <w:tcBorders>
              <w:top w:val="single" w:color="auto" w:sz="4" w:space="0"/>
              <w:left w:val="single" w:color="auto" w:sz="4" w:space="0"/>
              <w:bottom w:val="single" w:color="auto" w:sz="4" w:space="0"/>
              <w:right w:val="single" w:color="auto" w:sz="4" w:space="0"/>
            </w:tcBorders>
            <w:vAlign w:val="center"/>
          </w:tcPr>
          <w:p w14:paraId="0EEE80E4">
            <w:pPr>
              <w:spacing w:line="360" w:lineRule="auto"/>
              <w:rPr>
                <w:rFonts w:hint="eastAsia" w:eastAsia="宋体"/>
                <w:color w:val="auto"/>
                <w:highlight w:val="none"/>
                <w:lang w:eastAsia="zh-CN"/>
              </w:rPr>
            </w:pPr>
          </w:p>
        </w:tc>
        <w:tc>
          <w:tcPr>
            <w:tcW w:w="513" w:type="pct"/>
            <w:tcBorders>
              <w:top w:val="single" w:color="auto" w:sz="4" w:space="0"/>
              <w:left w:val="single" w:color="auto" w:sz="4" w:space="0"/>
              <w:bottom w:val="single" w:color="auto" w:sz="4" w:space="0"/>
              <w:right w:val="single" w:color="auto" w:sz="4" w:space="0"/>
            </w:tcBorders>
            <w:vAlign w:val="center"/>
          </w:tcPr>
          <w:p w14:paraId="23F82B17">
            <w:pPr>
              <w:widowControl/>
              <w:rPr>
                <w:rFonts w:ascii="宋体" w:hAnsi="宋体" w:cs="宋体"/>
                <w:color w:val="auto"/>
                <w:szCs w:val="21"/>
                <w:highlight w:val="none"/>
              </w:rPr>
            </w:pPr>
          </w:p>
          <w:p w14:paraId="259DED27">
            <w:pPr>
              <w:spacing w:line="360" w:lineRule="auto"/>
              <w:rPr>
                <w:rFonts w:ascii="宋体" w:hAnsi="宋体" w:cs="宋体"/>
                <w:color w:val="auto"/>
                <w:szCs w:val="21"/>
                <w:highlight w:val="none"/>
              </w:rPr>
            </w:pPr>
          </w:p>
        </w:tc>
      </w:tr>
    </w:tbl>
    <w:p w14:paraId="789CACF4">
      <w:pPr>
        <w:spacing w:line="360" w:lineRule="auto"/>
        <w:rPr>
          <w:rFonts w:ascii="宋体" w:hAnsi="宋体"/>
          <w:color w:val="auto"/>
          <w:szCs w:val="21"/>
          <w:highlight w:val="none"/>
        </w:rPr>
      </w:pPr>
    </w:p>
    <w:p w14:paraId="6580A78A">
      <w:pPr>
        <w:spacing w:line="360" w:lineRule="auto"/>
        <w:ind w:firstLine="359" w:firstLineChars="171"/>
        <w:rPr>
          <w:rFonts w:ascii="宋体" w:hAnsi="宋体"/>
          <w:color w:val="auto"/>
          <w:szCs w:val="21"/>
          <w:highlight w:val="none"/>
        </w:rPr>
      </w:pPr>
    </w:p>
    <w:p w14:paraId="18E36188">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投标人代表签字：</w:t>
      </w:r>
    </w:p>
    <w:p w14:paraId="4A7A54E1">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投标人名称（盖章）：</w:t>
      </w:r>
    </w:p>
    <w:p w14:paraId="6A0E3BB7">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日期： 年   月   日</w:t>
      </w:r>
    </w:p>
    <w:p w14:paraId="2806EDF6">
      <w:pPr>
        <w:spacing w:line="360" w:lineRule="auto"/>
        <w:ind w:firstLine="359" w:firstLineChars="171"/>
        <w:rPr>
          <w:rFonts w:ascii="宋体" w:hAnsi="宋体"/>
          <w:color w:val="auto"/>
          <w:szCs w:val="21"/>
          <w:highlight w:val="none"/>
        </w:rPr>
      </w:pPr>
    </w:p>
    <w:p w14:paraId="1A0CA149">
      <w:pPr>
        <w:spacing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2C6786B0">
      <w:pPr>
        <w:pStyle w:val="24"/>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1.开标一览表内容与投标文件中相应内容不一致的，以开标一览表为准。</w:t>
      </w:r>
    </w:p>
    <w:p w14:paraId="685B7DFA">
      <w:pPr>
        <w:pStyle w:val="24"/>
        <w:spacing w:line="360" w:lineRule="auto"/>
        <w:ind w:firstLine="0" w:firstLineChars="0"/>
        <w:rPr>
          <w:rFonts w:ascii="宋体" w:hAnsi="宋体" w:cs="宋体"/>
          <w:color w:val="auto"/>
          <w:szCs w:val="21"/>
          <w:highlight w:val="none"/>
        </w:rPr>
      </w:pPr>
    </w:p>
    <w:p w14:paraId="1C93BBF3">
      <w:pPr>
        <w:rPr>
          <w:rFonts w:ascii="宋体" w:hAnsi="宋体" w:cs="宋体"/>
          <w:color w:val="auto"/>
          <w:szCs w:val="21"/>
          <w:highlight w:val="none"/>
        </w:rPr>
      </w:pPr>
      <w:r>
        <w:rPr>
          <w:rFonts w:hint="eastAsia" w:ascii="宋体" w:hAnsi="宋体" w:cs="宋体"/>
          <w:color w:val="auto"/>
          <w:szCs w:val="21"/>
          <w:highlight w:val="none"/>
        </w:rPr>
        <w:br w:type="page"/>
      </w:r>
    </w:p>
    <w:p w14:paraId="36B59D87">
      <w:pPr>
        <w:rPr>
          <w:b/>
          <w:bCs/>
          <w:color w:val="auto"/>
          <w:sz w:val="24"/>
          <w:szCs w:val="32"/>
          <w:highlight w:val="none"/>
        </w:rPr>
      </w:pPr>
      <w:r>
        <w:rPr>
          <w:rFonts w:hint="eastAsia"/>
          <w:b/>
          <w:bCs/>
          <w:color w:val="auto"/>
          <w:sz w:val="24"/>
          <w:szCs w:val="32"/>
          <w:highlight w:val="none"/>
        </w:rPr>
        <w:t>格式三：</w:t>
      </w:r>
    </w:p>
    <w:p w14:paraId="0EAD656B">
      <w:pPr>
        <w:jc w:val="center"/>
        <w:rPr>
          <w:b/>
          <w:bCs/>
          <w:color w:val="auto"/>
          <w:sz w:val="24"/>
          <w:szCs w:val="32"/>
          <w:highlight w:val="none"/>
        </w:rPr>
      </w:pPr>
      <w:r>
        <w:rPr>
          <w:rFonts w:hint="eastAsia"/>
          <w:b/>
          <w:bCs/>
          <w:color w:val="auto"/>
          <w:sz w:val="24"/>
          <w:szCs w:val="32"/>
          <w:highlight w:val="none"/>
        </w:rPr>
        <w:t>分项报价表</w:t>
      </w:r>
    </w:p>
    <w:p w14:paraId="4EEF0BD9">
      <w:pPr>
        <w:pStyle w:val="10"/>
        <w:spacing w:line="360" w:lineRule="auto"/>
        <w:jc w:val="right"/>
        <w:rPr>
          <w:rFonts w:hAnsi="宋体" w:eastAsia="宋体" w:cs="宋体"/>
          <w:color w:val="auto"/>
          <w:szCs w:val="21"/>
          <w:highlight w:val="none"/>
        </w:rPr>
      </w:pPr>
      <w:r>
        <w:rPr>
          <w:rFonts w:hint="eastAsia" w:hAnsi="宋体" w:eastAsia="宋体" w:cs="宋体"/>
          <w:color w:val="auto"/>
          <w:szCs w:val="21"/>
          <w:highlight w:val="none"/>
        </w:rPr>
        <w:t>[货币单位：人民币元]</w:t>
      </w:r>
    </w:p>
    <w:tbl>
      <w:tblPr>
        <w:tblStyle w:val="1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45"/>
        <w:gridCol w:w="1257"/>
        <w:gridCol w:w="1440"/>
        <w:gridCol w:w="1441"/>
        <w:gridCol w:w="1443"/>
      </w:tblGrid>
      <w:tr w14:paraId="3E60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E75C88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045" w:type="dxa"/>
            <w:tcBorders>
              <w:top w:val="single" w:color="auto" w:sz="4" w:space="0"/>
              <w:left w:val="single" w:color="auto" w:sz="4" w:space="0"/>
              <w:bottom w:val="single" w:color="auto" w:sz="4" w:space="0"/>
              <w:right w:val="single" w:color="auto" w:sz="4" w:space="0"/>
            </w:tcBorders>
            <w:vAlign w:val="center"/>
          </w:tcPr>
          <w:p w14:paraId="71B0493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分项内容</w:t>
            </w:r>
          </w:p>
        </w:tc>
        <w:tc>
          <w:tcPr>
            <w:tcW w:w="1257" w:type="dxa"/>
            <w:tcBorders>
              <w:top w:val="single" w:color="auto" w:sz="4" w:space="0"/>
              <w:left w:val="single" w:color="auto" w:sz="4" w:space="0"/>
              <w:bottom w:val="single" w:color="auto" w:sz="4" w:space="0"/>
              <w:right w:val="single" w:color="auto" w:sz="4" w:space="0"/>
            </w:tcBorders>
            <w:vAlign w:val="center"/>
          </w:tcPr>
          <w:p w14:paraId="4CC07E8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1440" w:type="dxa"/>
            <w:tcBorders>
              <w:top w:val="single" w:color="auto" w:sz="4" w:space="0"/>
              <w:left w:val="single" w:color="auto" w:sz="4" w:space="0"/>
              <w:bottom w:val="single" w:color="auto" w:sz="4" w:space="0"/>
              <w:right w:val="single" w:color="auto" w:sz="4" w:space="0"/>
            </w:tcBorders>
            <w:vAlign w:val="center"/>
          </w:tcPr>
          <w:p w14:paraId="739E9CF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单价</w:t>
            </w:r>
          </w:p>
        </w:tc>
        <w:tc>
          <w:tcPr>
            <w:tcW w:w="1441" w:type="dxa"/>
            <w:tcBorders>
              <w:top w:val="single" w:color="auto" w:sz="4" w:space="0"/>
              <w:left w:val="single" w:color="auto" w:sz="4" w:space="0"/>
              <w:bottom w:val="single" w:color="auto" w:sz="4" w:space="0"/>
              <w:right w:val="single" w:color="auto" w:sz="4" w:space="0"/>
            </w:tcBorders>
            <w:vAlign w:val="center"/>
          </w:tcPr>
          <w:p w14:paraId="4AB306A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总价</w:t>
            </w:r>
          </w:p>
        </w:tc>
        <w:tc>
          <w:tcPr>
            <w:tcW w:w="1443" w:type="dxa"/>
            <w:tcBorders>
              <w:top w:val="single" w:color="auto" w:sz="4" w:space="0"/>
              <w:left w:val="single" w:color="auto" w:sz="4" w:space="0"/>
              <w:bottom w:val="single" w:color="auto" w:sz="4" w:space="0"/>
              <w:right w:val="single" w:color="auto" w:sz="4" w:space="0"/>
            </w:tcBorders>
            <w:vAlign w:val="center"/>
          </w:tcPr>
          <w:p w14:paraId="491E21A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43FD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F9E2C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045" w:type="dxa"/>
            <w:tcBorders>
              <w:top w:val="single" w:color="auto" w:sz="4" w:space="0"/>
              <w:left w:val="single" w:color="auto" w:sz="4" w:space="0"/>
              <w:bottom w:val="single" w:color="auto" w:sz="4" w:space="0"/>
              <w:right w:val="single" w:color="auto" w:sz="4" w:space="0"/>
            </w:tcBorders>
            <w:vAlign w:val="center"/>
          </w:tcPr>
          <w:p w14:paraId="12EE7929">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DA10C08">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850635D">
            <w:pPr>
              <w:spacing w:line="360" w:lineRule="auto"/>
              <w:jc w:val="center"/>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0405750">
            <w:pPr>
              <w:spacing w:line="360" w:lineRule="auto"/>
              <w:jc w:val="center"/>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A97B4A0">
            <w:pPr>
              <w:spacing w:line="360" w:lineRule="auto"/>
              <w:jc w:val="center"/>
              <w:rPr>
                <w:rFonts w:ascii="宋体" w:hAnsi="宋体" w:cs="宋体"/>
                <w:color w:val="auto"/>
                <w:szCs w:val="21"/>
                <w:highlight w:val="none"/>
              </w:rPr>
            </w:pPr>
          </w:p>
        </w:tc>
      </w:tr>
      <w:tr w14:paraId="79A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8925B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045" w:type="dxa"/>
            <w:tcBorders>
              <w:top w:val="single" w:color="auto" w:sz="4" w:space="0"/>
              <w:left w:val="single" w:color="auto" w:sz="4" w:space="0"/>
              <w:bottom w:val="single" w:color="auto" w:sz="4" w:space="0"/>
              <w:right w:val="single" w:color="auto" w:sz="4" w:space="0"/>
            </w:tcBorders>
            <w:vAlign w:val="center"/>
          </w:tcPr>
          <w:p w14:paraId="671A88E6">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AF17BD1">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2703BB7">
            <w:pPr>
              <w:spacing w:line="360" w:lineRule="auto"/>
              <w:jc w:val="center"/>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327805F">
            <w:pPr>
              <w:spacing w:line="360" w:lineRule="auto"/>
              <w:jc w:val="center"/>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F3443AA">
            <w:pPr>
              <w:spacing w:line="360" w:lineRule="auto"/>
              <w:jc w:val="center"/>
              <w:rPr>
                <w:rFonts w:ascii="宋体" w:hAnsi="宋体" w:cs="宋体"/>
                <w:color w:val="auto"/>
                <w:szCs w:val="21"/>
                <w:highlight w:val="none"/>
              </w:rPr>
            </w:pPr>
          </w:p>
        </w:tc>
      </w:tr>
      <w:tr w14:paraId="7FD4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EB5FE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045" w:type="dxa"/>
            <w:tcBorders>
              <w:top w:val="single" w:color="auto" w:sz="4" w:space="0"/>
              <w:left w:val="single" w:color="auto" w:sz="4" w:space="0"/>
              <w:bottom w:val="single" w:color="auto" w:sz="4" w:space="0"/>
              <w:right w:val="single" w:color="auto" w:sz="4" w:space="0"/>
            </w:tcBorders>
            <w:vAlign w:val="center"/>
          </w:tcPr>
          <w:p w14:paraId="5868900D">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8C55807">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ACAEB09">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258EC7B">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74FACDC">
            <w:pPr>
              <w:spacing w:line="360" w:lineRule="auto"/>
              <w:rPr>
                <w:rFonts w:ascii="宋体" w:hAnsi="宋体" w:cs="宋体"/>
                <w:color w:val="auto"/>
                <w:szCs w:val="21"/>
                <w:highlight w:val="none"/>
              </w:rPr>
            </w:pPr>
          </w:p>
        </w:tc>
      </w:tr>
      <w:tr w14:paraId="44C5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589B4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3045" w:type="dxa"/>
            <w:tcBorders>
              <w:top w:val="single" w:color="auto" w:sz="4" w:space="0"/>
              <w:left w:val="single" w:color="auto" w:sz="4" w:space="0"/>
              <w:bottom w:val="single" w:color="auto" w:sz="4" w:space="0"/>
              <w:right w:val="single" w:color="auto" w:sz="4" w:space="0"/>
            </w:tcBorders>
            <w:vAlign w:val="center"/>
          </w:tcPr>
          <w:p w14:paraId="64F3D666">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97823C0">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1AFCC4A">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0CAA372E">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20D21E0B">
            <w:pPr>
              <w:spacing w:line="360" w:lineRule="auto"/>
              <w:rPr>
                <w:rFonts w:ascii="宋体" w:hAnsi="宋体" w:cs="宋体"/>
                <w:color w:val="auto"/>
                <w:szCs w:val="21"/>
                <w:highlight w:val="none"/>
              </w:rPr>
            </w:pPr>
          </w:p>
        </w:tc>
      </w:tr>
      <w:tr w14:paraId="6397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A26F8EA">
            <w:pPr>
              <w:spacing w:line="360" w:lineRule="auto"/>
              <w:jc w:val="center"/>
              <w:rPr>
                <w:rFonts w:ascii="宋体" w:hAnsi="宋体" w:cs="宋体"/>
                <w:color w:val="auto"/>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center"/>
          </w:tcPr>
          <w:p w14:paraId="3FCF719A">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8E27736">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3C45A5F">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ECD93AF">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88C3988">
            <w:pPr>
              <w:spacing w:line="360" w:lineRule="auto"/>
              <w:rPr>
                <w:rFonts w:ascii="宋体" w:hAnsi="宋体" w:cs="宋体"/>
                <w:color w:val="auto"/>
                <w:szCs w:val="21"/>
                <w:highlight w:val="none"/>
              </w:rPr>
            </w:pPr>
          </w:p>
        </w:tc>
      </w:tr>
      <w:tr w14:paraId="4A20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684C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总计</w:t>
            </w:r>
          </w:p>
        </w:tc>
        <w:tc>
          <w:tcPr>
            <w:tcW w:w="7183" w:type="dxa"/>
            <w:gridSpan w:val="4"/>
            <w:tcBorders>
              <w:top w:val="single" w:color="auto" w:sz="4" w:space="0"/>
              <w:left w:val="single" w:color="auto" w:sz="4" w:space="0"/>
              <w:bottom w:val="single" w:color="auto" w:sz="4" w:space="0"/>
              <w:right w:val="single" w:color="auto" w:sz="4" w:space="0"/>
            </w:tcBorders>
            <w:vAlign w:val="center"/>
          </w:tcPr>
          <w:p w14:paraId="1884DBE8">
            <w:pPr>
              <w:spacing w:line="360" w:lineRule="auto"/>
              <w:rPr>
                <w:rFonts w:ascii="宋体" w:hAnsi="宋体" w:cs="宋体"/>
                <w:color w:val="auto"/>
                <w:szCs w:val="21"/>
                <w:highlight w:val="none"/>
              </w:rPr>
            </w:pPr>
            <w:r>
              <w:rPr>
                <w:rFonts w:hint="eastAsia" w:ascii="宋体" w:hAnsi="宋体" w:cs="宋体"/>
                <w:color w:val="auto"/>
                <w:szCs w:val="21"/>
                <w:highlight w:val="none"/>
              </w:rPr>
              <w:t>（大写）                            （小写）</w:t>
            </w:r>
            <w:r>
              <w:rPr>
                <w:rFonts w:hint="eastAsia" w:ascii="宋体" w:hAnsi="宋体" w:cs="宋体"/>
                <w:b/>
                <w:color w:val="auto"/>
                <w:szCs w:val="21"/>
                <w:highlight w:val="none"/>
              </w:rPr>
              <w:t xml:space="preserve">                          　　　　　　  </w:t>
            </w:r>
          </w:p>
        </w:tc>
        <w:tc>
          <w:tcPr>
            <w:tcW w:w="1443" w:type="dxa"/>
            <w:tcBorders>
              <w:top w:val="single" w:color="auto" w:sz="4" w:space="0"/>
              <w:left w:val="single" w:color="auto" w:sz="4" w:space="0"/>
              <w:bottom w:val="single" w:color="auto" w:sz="4" w:space="0"/>
              <w:right w:val="single" w:color="auto" w:sz="4" w:space="0"/>
            </w:tcBorders>
            <w:vAlign w:val="center"/>
          </w:tcPr>
          <w:p w14:paraId="5B5FFB4D">
            <w:pPr>
              <w:spacing w:line="360" w:lineRule="auto"/>
              <w:jc w:val="center"/>
              <w:rPr>
                <w:rFonts w:ascii="宋体" w:hAnsi="宋体" w:cs="宋体"/>
                <w:bCs/>
                <w:color w:val="auto"/>
                <w:szCs w:val="21"/>
                <w:highlight w:val="none"/>
              </w:rPr>
            </w:pPr>
          </w:p>
        </w:tc>
      </w:tr>
    </w:tbl>
    <w:p w14:paraId="6FF512BB">
      <w:pPr>
        <w:spacing w:line="360" w:lineRule="auto"/>
        <w:jc w:val="center"/>
        <w:rPr>
          <w:rFonts w:ascii="宋体" w:hAnsi="宋体" w:cs="宋体"/>
          <w:b/>
          <w:color w:val="auto"/>
          <w:szCs w:val="21"/>
          <w:highlight w:val="none"/>
        </w:rPr>
      </w:pPr>
    </w:p>
    <w:p w14:paraId="28E433CE">
      <w:pPr>
        <w:spacing w:line="360" w:lineRule="auto"/>
        <w:rPr>
          <w:rFonts w:ascii="宋体" w:hAnsi="宋体" w:cs="宋体"/>
          <w:b/>
          <w:color w:val="auto"/>
          <w:szCs w:val="21"/>
          <w:highlight w:val="none"/>
        </w:rPr>
      </w:pPr>
    </w:p>
    <w:p w14:paraId="651A4D95">
      <w:pPr>
        <w:spacing w:line="360" w:lineRule="auto"/>
        <w:rPr>
          <w:rFonts w:ascii="宋体" w:hAnsi="宋体" w:cs="宋体"/>
          <w:color w:val="auto"/>
          <w:szCs w:val="21"/>
          <w:highlight w:val="none"/>
        </w:rPr>
      </w:pPr>
      <w:r>
        <w:rPr>
          <w:rFonts w:hint="eastAsia" w:ascii="宋体" w:hAnsi="宋体" w:cs="宋体"/>
          <w:color w:val="auto"/>
          <w:szCs w:val="21"/>
          <w:highlight w:val="none"/>
        </w:rPr>
        <w:t>注：1.如果单价和总价不符时，以单价为准，修正总价和总计。</w:t>
      </w:r>
    </w:p>
    <w:p w14:paraId="4DF81F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auto"/>
          <w:szCs w:val="21"/>
          <w:highlight w:val="none"/>
        </w:rPr>
      </w:pPr>
    </w:p>
    <w:p w14:paraId="76CAB120">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投标人代表签字：</w:t>
      </w:r>
    </w:p>
    <w:p w14:paraId="6FDFF162">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投标人名称（盖章）：</w:t>
      </w:r>
    </w:p>
    <w:p w14:paraId="27EE5B55">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日期： 年 月 日</w:t>
      </w:r>
    </w:p>
    <w:p w14:paraId="4107F440">
      <w:pPr>
        <w:rPr>
          <w:color w:val="auto"/>
          <w:sz w:val="20"/>
          <w:szCs w:val="20"/>
          <w:highlight w:val="none"/>
        </w:rPr>
      </w:pPr>
      <w:r>
        <w:rPr>
          <w:color w:val="auto"/>
          <w:sz w:val="20"/>
          <w:szCs w:val="20"/>
          <w:highlight w:val="none"/>
        </w:rPr>
        <w:br w:type="page"/>
      </w:r>
    </w:p>
    <w:p w14:paraId="202E71EA">
      <w:pPr>
        <w:pStyle w:val="8"/>
        <w:rPr>
          <w:b/>
          <w:bCs/>
          <w:color w:val="auto"/>
          <w:highlight w:val="none"/>
          <w:lang w:val="en-US"/>
        </w:rPr>
      </w:pPr>
      <w:r>
        <w:rPr>
          <w:rFonts w:hint="eastAsia"/>
          <w:b/>
          <w:bCs/>
          <w:color w:val="auto"/>
          <w:highlight w:val="none"/>
          <w:lang w:val="en-US"/>
        </w:rPr>
        <w:t>格式四：</w:t>
      </w:r>
    </w:p>
    <w:p w14:paraId="4927DC9B">
      <w:pPr>
        <w:pStyle w:val="4"/>
        <w:spacing w:line="360" w:lineRule="auto"/>
        <w:rPr>
          <w:color w:val="auto"/>
          <w:sz w:val="24"/>
          <w:highlight w:val="none"/>
        </w:rPr>
      </w:pPr>
      <w:bookmarkStart w:id="155" w:name="_Toc23039"/>
      <w:r>
        <w:rPr>
          <w:color w:val="auto"/>
          <w:sz w:val="24"/>
          <w:highlight w:val="none"/>
        </w:rPr>
        <w:t>法定代表人证明书</w:t>
      </w:r>
      <w:bookmarkEnd w:id="155"/>
    </w:p>
    <w:p w14:paraId="018CD087">
      <w:pPr>
        <w:pStyle w:val="8"/>
        <w:tabs>
          <w:tab w:val="left" w:pos="1738"/>
          <w:tab w:val="left" w:pos="3223"/>
          <w:tab w:val="left" w:pos="3947"/>
        </w:tabs>
        <w:autoSpaceDE w:val="0"/>
        <w:autoSpaceDN w:val="0"/>
        <w:spacing w:line="360" w:lineRule="auto"/>
        <w:ind w:left="0"/>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48360E14">
      <w:pPr>
        <w:pStyle w:val="8"/>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189D2F1B">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6595C4C4">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4D02B390">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E0512B9">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0FB0A8D2">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15A8E2DE">
      <w:pPr>
        <w:pStyle w:val="8"/>
        <w:tabs>
          <w:tab w:val="left" w:pos="3693"/>
        </w:tabs>
        <w:spacing w:line="242" w:lineRule="exact"/>
        <w:ind w:right="104"/>
        <w:jc w:val="right"/>
        <w:rPr>
          <w:color w:val="auto"/>
          <w:sz w:val="21"/>
          <w:szCs w:val="21"/>
          <w:highlight w:val="none"/>
        </w:rPr>
      </w:pPr>
    </w:p>
    <w:p w14:paraId="7A1D2945">
      <w:pPr>
        <w:pStyle w:val="8"/>
        <w:tabs>
          <w:tab w:val="left" w:pos="3693"/>
        </w:tabs>
        <w:spacing w:line="242" w:lineRule="exact"/>
        <w:ind w:right="104"/>
        <w:jc w:val="right"/>
        <w:rPr>
          <w:color w:val="auto"/>
          <w:sz w:val="21"/>
          <w:szCs w:val="21"/>
          <w:highlight w:val="none"/>
        </w:rPr>
      </w:pPr>
    </w:p>
    <w:p w14:paraId="6DF24FBF">
      <w:pPr>
        <w:pStyle w:val="8"/>
        <w:tabs>
          <w:tab w:val="left" w:pos="3693"/>
        </w:tabs>
        <w:spacing w:before="0" w:line="480" w:lineRule="auto"/>
        <w:ind w:left="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1719490E">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EC57C60">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3834D87">
      <w:pPr>
        <w:pStyle w:val="8"/>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1F7FA5EB">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65EB09D0">
      <w:pPr>
        <w:pStyle w:val="8"/>
        <w:rPr>
          <w:color w:val="auto"/>
          <w:highlight w:val="none"/>
          <w:lang w:val="en-US"/>
        </w:rPr>
      </w:pPr>
    </w:p>
    <w:p w14:paraId="61697ADE">
      <w:pPr>
        <w:rPr>
          <w:color w:val="auto"/>
          <w:highlight w:val="none"/>
        </w:rPr>
      </w:pPr>
    </w:p>
    <w:p w14:paraId="71DB47C8">
      <w:pPr>
        <w:pStyle w:val="8"/>
        <w:rPr>
          <w:color w:val="auto"/>
          <w:highlight w:val="none"/>
          <w:lang w:val="en-US"/>
        </w:rPr>
      </w:pPr>
    </w:p>
    <w:p w14:paraId="13E078E4">
      <w:pPr>
        <w:spacing w:beforeLines="50"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17"/>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63B7508">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435394D6">
      <w:pPr>
        <w:rPr>
          <w:color w:val="auto"/>
          <w:highlight w:val="none"/>
        </w:rPr>
      </w:pPr>
      <w:r>
        <w:rPr>
          <w:rFonts w:hint="eastAsia"/>
          <w:color w:val="auto"/>
          <w:highlight w:val="none"/>
        </w:rPr>
        <w:br w:type="page"/>
      </w:r>
    </w:p>
    <w:p w14:paraId="6AE81EEF">
      <w:pPr>
        <w:pStyle w:val="8"/>
        <w:rPr>
          <w:b/>
          <w:bCs/>
          <w:color w:val="auto"/>
          <w:highlight w:val="none"/>
          <w:lang w:val="en-US"/>
        </w:rPr>
      </w:pPr>
      <w:r>
        <w:rPr>
          <w:rFonts w:hint="eastAsia"/>
          <w:b/>
          <w:bCs/>
          <w:color w:val="auto"/>
          <w:highlight w:val="none"/>
          <w:lang w:val="en-US"/>
        </w:rPr>
        <w:t>格式五：</w:t>
      </w:r>
    </w:p>
    <w:p w14:paraId="49D6B8B4">
      <w:pPr>
        <w:jc w:val="center"/>
        <w:rPr>
          <w:b/>
          <w:bCs/>
          <w:color w:val="auto"/>
          <w:sz w:val="24"/>
          <w:szCs w:val="32"/>
          <w:highlight w:val="none"/>
        </w:rPr>
      </w:pPr>
      <w:r>
        <w:rPr>
          <w:b/>
          <w:bCs/>
          <w:color w:val="auto"/>
          <w:sz w:val="24"/>
          <w:szCs w:val="32"/>
          <w:highlight w:val="none"/>
        </w:rPr>
        <w:t>法定代表人授权书</w:t>
      </w:r>
    </w:p>
    <w:p w14:paraId="6CBC4D9B">
      <w:pPr>
        <w:pStyle w:val="8"/>
        <w:spacing w:before="0" w:line="360" w:lineRule="auto"/>
        <w:ind w:left="0"/>
        <w:rPr>
          <w:color w:val="auto"/>
          <w:sz w:val="21"/>
          <w:szCs w:val="21"/>
          <w:highlight w:val="none"/>
        </w:rPr>
      </w:pPr>
      <w:r>
        <w:rPr>
          <w:rFonts w:hint="eastAsia"/>
          <w:color w:val="auto"/>
          <w:sz w:val="21"/>
          <w:szCs w:val="21"/>
          <w:highlight w:val="none"/>
        </w:rPr>
        <w:t>致：国顺招标有限公司</w:t>
      </w:r>
    </w:p>
    <w:p w14:paraId="6AB9D9B1">
      <w:pPr>
        <w:pStyle w:val="8"/>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（投标人名称）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6954F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的投标和合同执行，以我方的名义处理一切与之有关的事宜。</w:t>
      </w:r>
    </w:p>
    <w:p w14:paraId="5F52A21F">
      <w:pPr>
        <w:pStyle w:val="8"/>
        <w:spacing w:before="0" w:line="360" w:lineRule="auto"/>
        <w:ind w:left="0" w:firstLine="420" w:firstLineChars="200"/>
        <w:rPr>
          <w:color w:val="auto"/>
          <w:sz w:val="21"/>
          <w:szCs w:val="21"/>
          <w:highlight w:val="none"/>
        </w:rPr>
      </w:pPr>
      <w:r>
        <w:rPr>
          <w:rFonts w:hint="eastAsia"/>
          <w:color w:val="auto"/>
          <w:sz w:val="21"/>
          <w:szCs w:val="21"/>
          <w:highlight w:val="none"/>
        </w:rPr>
        <w:t xml:space="preserve">本授权书于 </w:t>
      </w:r>
      <w:r>
        <w:rPr>
          <w:rFonts w:hint="eastAsia"/>
          <w:color w:val="auto"/>
          <w:sz w:val="21"/>
          <w:szCs w:val="21"/>
          <w:highlight w:val="none"/>
        </w:rPr>
        <w:tab/>
      </w:r>
      <w:r>
        <w:rPr>
          <w:rFonts w:hint="eastAsia"/>
          <w:color w:val="auto"/>
          <w:sz w:val="21"/>
          <w:szCs w:val="21"/>
          <w:highlight w:val="none"/>
        </w:rPr>
        <w:t xml:space="preserve">年 </w:t>
      </w:r>
      <w:r>
        <w:rPr>
          <w:rFonts w:hint="eastAsia"/>
          <w:color w:val="auto"/>
          <w:sz w:val="21"/>
          <w:szCs w:val="21"/>
          <w:highlight w:val="none"/>
        </w:rPr>
        <w:tab/>
      </w:r>
      <w:r>
        <w:rPr>
          <w:rFonts w:hint="eastAsia"/>
          <w:color w:val="auto"/>
          <w:sz w:val="21"/>
          <w:szCs w:val="21"/>
          <w:highlight w:val="none"/>
        </w:rPr>
        <w:t xml:space="preserve">月 </w:t>
      </w:r>
      <w:r>
        <w:rPr>
          <w:rFonts w:hint="eastAsia"/>
          <w:color w:val="auto"/>
          <w:sz w:val="21"/>
          <w:szCs w:val="21"/>
          <w:highlight w:val="none"/>
        </w:rPr>
        <w:tab/>
      </w:r>
      <w:r>
        <w:rPr>
          <w:rFonts w:hint="eastAsia"/>
          <w:color w:val="auto"/>
          <w:sz w:val="21"/>
          <w:szCs w:val="21"/>
          <w:highlight w:val="none"/>
        </w:rPr>
        <w:t>日签字生效，特此声明。</w:t>
      </w:r>
    </w:p>
    <w:p w14:paraId="6C5227A3">
      <w:pPr>
        <w:pStyle w:val="8"/>
        <w:tabs>
          <w:tab w:val="left" w:pos="10713"/>
        </w:tabs>
        <w:spacing w:before="0" w:line="360" w:lineRule="auto"/>
        <w:ind w:left="0"/>
        <w:jc w:val="right"/>
        <w:rPr>
          <w:color w:val="auto"/>
          <w:sz w:val="21"/>
          <w:szCs w:val="21"/>
          <w:highlight w:val="none"/>
        </w:rPr>
      </w:pPr>
    </w:p>
    <w:p w14:paraId="43CB2B00">
      <w:pPr>
        <w:pStyle w:val="8"/>
        <w:tabs>
          <w:tab w:val="left" w:pos="10713"/>
        </w:tabs>
        <w:spacing w:before="0" w:line="360" w:lineRule="auto"/>
        <w:ind w:left="0"/>
        <w:jc w:val="right"/>
        <w:rPr>
          <w:color w:val="auto"/>
          <w:sz w:val="21"/>
          <w:szCs w:val="21"/>
          <w:highlight w:val="none"/>
        </w:rPr>
      </w:pPr>
    </w:p>
    <w:p w14:paraId="7D6A6852">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投标人名称（盖章）：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686B82F4">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357BEB66">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22049934">
      <w:pPr>
        <w:pStyle w:val="8"/>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9015DEE">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6009115D">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0412B023">
      <w:pPr>
        <w:pStyle w:val="8"/>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22F91AF4">
      <w:pPr>
        <w:pStyle w:val="8"/>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8C97B3">
      <w:pPr>
        <w:pStyle w:val="8"/>
        <w:tabs>
          <w:tab w:val="left" w:pos="2349"/>
        </w:tabs>
        <w:spacing w:before="0" w:line="480" w:lineRule="auto"/>
        <w:ind w:left="0"/>
        <w:rPr>
          <w:color w:val="auto"/>
          <w:sz w:val="21"/>
          <w:szCs w:val="21"/>
          <w:highlight w:val="none"/>
          <w:lang w:val="en-US"/>
        </w:rPr>
      </w:pPr>
    </w:p>
    <w:p w14:paraId="0BFC6749">
      <w:pPr>
        <w:spacing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17"/>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5851CA4A">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10B1371">
      <w:pPr>
        <w:pStyle w:val="8"/>
        <w:tabs>
          <w:tab w:val="left" w:pos="2349"/>
        </w:tabs>
        <w:spacing w:before="0" w:line="480" w:lineRule="auto"/>
        <w:ind w:left="0"/>
        <w:rPr>
          <w:color w:val="auto"/>
          <w:sz w:val="20"/>
          <w:szCs w:val="20"/>
          <w:highlight w:val="none"/>
          <w:lang w:val="en-US"/>
        </w:rPr>
      </w:pPr>
    </w:p>
    <w:p w14:paraId="202CD043">
      <w:pPr>
        <w:rPr>
          <w:b/>
          <w:bCs/>
          <w:color w:val="auto"/>
          <w:sz w:val="24"/>
          <w:highlight w:val="none"/>
        </w:rPr>
      </w:pPr>
      <w:r>
        <w:rPr>
          <w:rFonts w:hint="eastAsia"/>
          <w:b/>
          <w:bCs/>
          <w:color w:val="auto"/>
          <w:sz w:val="24"/>
          <w:highlight w:val="none"/>
        </w:rPr>
        <w:br w:type="page"/>
      </w:r>
    </w:p>
    <w:p w14:paraId="0B4C7C8C">
      <w:pPr>
        <w:rPr>
          <w:b/>
          <w:bCs/>
          <w:color w:val="auto"/>
          <w:sz w:val="24"/>
          <w:highlight w:val="none"/>
        </w:rPr>
      </w:pPr>
      <w:r>
        <w:rPr>
          <w:rFonts w:hint="eastAsia"/>
          <w:b/>
          <w:bCs/>
          <w:color w:val="auto"/>
          <w:sz w:val="24"/>
          <w:highlight w:val="none"/>
        </w:rPr>
        <w:t>格式六：</w:t>
      </w:r>
    </w:p>
    <w:p w14:paraId="6FB2C847">
      <w:pPr>
        <w:rPr>
          <w:b/>
          <w:bCs/>
          <w:color w:val="auto"/>
          <w:sz w:val="24"/>
          <w:highlight w:val="none"/>
        </w:rPr>
      </w:pPr>
      <w:r>
        <w:rPr>
          <w:color w:val="auto"/>
          <w:sz w:val="20"/>
          <w:szCs w:val="20"/>
          <w:highlight w:val="none"/>
        </w:rPr>
        <w:t>（以下格式文件由</w:t>
      </w:r>
      <w:r>
        <w:rPr>
          <w:rFonts w:hint="eastAsia"/>
          <w:color w:val="auto"/>
          <w:sz w:val="20"/>
          <w:szCs w:val="20"/>
          <w:highlight w:val="none"/>
        </w:rPr>
        <w:t>投标人</w:t>
      </w:r>
      <w:r>
        <w:rPr>
          <w:color w:val="auto"/>
          <w:sz w:val="20"/>
          <w:szCs w:val="20"/>
          <w:highlight w:val="none"/>
        </w:rPr>
        <w:t>根据需要选用）</w:t>
      </w:r>
    </w:p>
    <w:p w14:paraId="4B2C2B66">
      <w:pPr>
        <w:jc w:val="center"/>
        <w:rPr>
          <w:b/>
          <w:bCs/>
          <w:color w:val="auto"/>
          <w:sz w:val="24"/>
          <w:highlight w:val="none"/>
        </w:rPr>
      </w:pPr>
      <w:r>
        <w:rPr>
          <w:rFonts w:hint="eastAsia"/>
          <w:b/>
          <w:bCs/>
          <w:color w:val="auto"/>
          <w:sz w:val="24"/>
          <w:highlight w:val="none"/>
        </w:rPr>
        <w:t>投标保证金</w:t>
      </w:r>
    </w:p>
    <w:p w14:paraId="777EC252">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75D333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CAE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本单位投标保证金的汇款情况：（详见附件－投标保证金汇款凭证）</w:t>
      </w:r>
    </w:p>
    <w:p w14:paraId="49A1A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904D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6C783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（必须是投标时使用的账户名）   </w:t>
      </w:r>
    </w:p>
    <w:p w14:paraId="731D3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（必须是投标时使用的账号）     </w:t>
      </w:r>
    </w:p>
    <w:p w14:paraId="1787B6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C28C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277BC0">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6E25251A">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3724C1E9">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65503E6C">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095E7B6A">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7A7E85B2">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59463B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17"/>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5E78E1D6">
      <w:pPr>
        <w:rPr>
          <w:color w:val="auto"/>
          <w:highlight w:val="none"/>
        </w:rPr>
      </w:pPr>
      <w:r>
        <w:rPr>
          <w:rFonts w:hint="eastAsia"/>
          <w:color w:val="auto"/>
          <w:highlight w:val="none"/>
        </w:rPr>
        <w:br w:type="page"/>
      </w:r>
    </w:p>
    <w:p w14:paraId="2FDDF3A6">
      <w:pPr>
        <w:rPr>
          <w:b/>
          <w:bCs/>
          <w:color w:val="auto"/>
          <w:sz w:val="24"/>
          <w:szCs w:val="32"/>
          <w:highlight w:val="none"/>
        </w:rPr>
      </w:pPr>
      <w:r>
        <w:rPr>
          <w:rFonts w:hint="eastAsia"/>
          <w:b/>
          <w:bCs/>
          <w:color w:val="auto"/>
          <w:sz w:val="24"/>
          <w:szCs w:val="32"/>
          <w:highlight w:val="none"/>
        </w:rPr>
        <w:t>格式七：</w:t>
      </w:r>
    </w:p>
    <w:p w14:paraId="56E881AA">
      <w:pPr>
        <w:pStyle w:val="8"/>
        <w:jc w:val="center"/>
        <w:rPr>
          <w:b/>
          <w:bCs/>
          <w:color w:val="auto"/>
          <w:highlight w:val="none"/>
          <w:lang w:val="en-US"/>
        </w:rPr>
      </w:pPr>
      <w:r>
        <w:rPr>
          <w:b/>
          <w:bCs/>
          <w:color w:val="auto"/>
          <w:highlight w:val="none"/>
          <w:lang w:val="en-US"/>
        </w:rPr>
        <w:t>提供具有独立承担民事责任的能力的证明材料</w:t>
      </w:r>
    </w:p>
    <w:p w14:paraId="270BE4B7">
      <w:pPr>
        <w:ind w:firstLine="420" w:firstLineChars="200"/>
        <w:rPr>
          <w:color w:val="auto"/>
          <w:highlight w:val="none"/>
        </w:rPr>
      </w:pPr>
    </w:p>
    <w:p w14:paraId="19BCB665">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338551F6">
      <w:pPr>
        <w:rPr>
          <w:b/>
          <w:bCs/>
          <w:color w:val="auto"/>
          <w:highlight w:val="none"/>
        </w:rPr>
      </w:pPr>
      <w:r>
        <w:rPr>
          <w:b/>
          <w:bCs/>
          <w:color w:val="auto"/>
          <w:highlight w:val="none"/>
        </w:rPr>
        <w:br w:type="page"/>
      </w:r>
    </w:p>
    <w:p w14:paraId="2F47944C">
      <w:pPr>
        <w:rPr>
          <w:b/>
          <w:bCs/>
          <w:color w:val="auto"/>
          <w:sz w:val="24"/>
          <w:szCs w:val="32"/>
          <w:highlight w:val="none"/>
        </w:rPr>
      </w:pPr>
      <w:r>
        <w:rPr>
          <w:rFonts w:hint="eastAsia"/>
          <w:b/>
          <w:bCs/>
          <w:color w:val="auto"/>
          <w:sz w:val="24"/>
          <w:szCs w:val="32"/>
          <w:highlight w:val="none"/>
        </w:rPr>
        <w:t>格式八：</w:t>
      </w:r>
    </w:p>
    <w:p w14:paraId="114721E6">
      <w:pPr>
        <w:pStyle w:val="8"/>
        <w:jc w:val="center"/>
        <w:rPr>
          <w:b/>
          <w:color w:val="auto"/>
          <w:highlight w:val="none"/>
        </w:rPr>
      </w:pPr>
      <w:r>
        <w:rPr>
          <w:b/>
          <w:color w:val="auto"/>
          <w:highlight w:val="none"/>
        </w:rPr>
        <w:t>资格性审查要求的其他资质证明文件</w:t>
      </w:r>
    </w:p>
    <w:p w14:paraId="5144A42D">
      <w:pPr>
        <w:widowControl/>
        <w:spacing w:line="360" w:lineRule="auto"/>
        <w:rPr>
          <w:rFonts w:ascii="宋体" w:hAnsi="宋体"/>
          <w:color w:val="auto"/>
          <w:szCs w:val="21"/>
          <w:highlight w:val="none"/>
        </w:rPr>
      </w:pPr>
    </w:p>
    <w:p w14:paraId="62CA0D07">
      <w:pPr>
        <w:widowControl/>
        <w:spacing w:line="360" w:lineRule="auto"/>
        <w:rPr>
          <w:rFonts w:hint="eastAsia" w:ascii="宋体" w:hAnsi="宋体"/>
          <w:color w:val="auto"/>
          <w:szCs w:val="21"/>
          <w:highlight w:val="none"/>
        </w:rPr>
      </w:pPr>
      <w:r>
        <w:rPr>
          <w:rFonts w:hint="eastAsia" w:ascii="宋体" w:hAnsi="宋体"/>
          <w:color w:val="auto"/>
          <w:szCs w:val="21"/>
          <w:highlight w:val="none"/>
        </w:rPr>
        <w:t>1、有依法缴纳税收和社会保障资金的良好记录：提供投标截止日前6个月内任意1个月依法缴纳税收和社会保障资金的相关材料。如依法免税或不需要缴纳社会保障资金的，提供相应证明材料。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0F2D5EC">
      <w:pPr>
        <w:widowControl/>
        <w:spacing w:line="360" w:lineRule="auto"/>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w:t>
      </w:r>
      <w:r>
        <w:rPr>
          <w:rFonts w:hint="eastAsia" w:ascii="宋体" w:hAnsi="宋体"/>
          <w:color w:val="auto"/>
          <w:szCs w:val="21"/>
          <w:highlight w:val="none"/>
          <w:lang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724E1A0F">
      <w:pPr>
        <w:widowControl/>
        <w:spacing w:line="360" w:lineRule="auto"/>
        <w:rPr>
          <w:rFonts w:hint="eastAsia" w:ascii="宋体" w:hAnsi="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48646537">
      <w:pPr>
        <w:widowControl/>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br w:type="page"/>
      </w:r>
    </w:p>
    <w:p w14:paraId="1C9C5781">
      <w:pPr>
        <w:pStyle w:val="8"/>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6C36CC88">
      <w:pPr>
        <w:pStyle w:val="8"/>
        <w:rPr>
          <w:color w:val="auto"/>
          <w:highlight w:val="none"/>
        </w:rPr>
      </w:pPr>
    </w:p>
    <w:p w14:paraId="27E31DF9">
      <w:pPr>
        <w:rPr>
          <w:color w:val="auto"/>
          <w:sz w:val="20"/>
          <w:highlight w:val="none"/>
        </w:rPr>
      </w:pPr>
      <w:r>
        <w:rPr>
          <w:rFonts w:hint="eastAsia"/>
          <w:color w:val="auto"/>
          <w:sz w:val="20"/>
          <w:highlight w:val="none"/>
        </w:rPr>
        <w:br w:type="page"/>
      </w:r>
    </w:p>
    <w:p w14:paraId="1B11C473">
      <w:pPr>
        <w:pStyle w:val="8"/>
        <w:rPr>
          <w:color w:val="auto"/>
          <w:highlight w:val="none"/>
        </w:rPr>
      </w:pPr>
      <w:r>
        <w:rPr>
          <w:rFonts w:hint="eastAsia"/>
          <w:b/>
          <w:bCs/>
          <w:color w:val="auto"/>
          <w:highlight w:val="none"/>
        </w:rPr>
        <w:t>格式九：</w:t>
      </w:r>
    </w:p>
    <w:p w14:paraId="49997159">
      <w:pPr>
        <w:rPr>
          <w:color w:val="auto"/>
          <w:highlight w:val="none"/>
        </w:rPr>
      </w:pPr>
    </w:p>
    <w:p w14:paraId="20584564">
      <w:pPr>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44F8CE51">
      <w:pPr>
        <w:rPr>
          <w:color w:val="auto"/>
          <w:highlight w:val="none"/>
        </w:rPr>
      </w:pPr>
    </w:p>
    <w:p w14:paraId="0D643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25FBF3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auto"/>
          <w:szCs w:val="21"/>
          <w:highlight w:val="none"/>
        </w:rPr>
      </w:pPr>
    </w:p>
    <w:p w14:paraId="56B72BF0">
      <w:pPr>
        <w:spacing w:line="360" w:lineRule="auto"/>
        <w:rPr>
          <w:rFonts w:ascii="宋体" w:hAnsi="宋体" w:cs="宋体"/>
          <w:color w:val="auto"/>
          <w:szCs w:val="21"/>
          <w:highlight w:val="none"/>
        </w:rPr>
      </w:pPr>
    </w:p>
    <w:p w14:paraId="151D2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02D87612">
      <w:pPr>
        <w:spacing w:line="360" w:lineRule="auto"/>
        <w:rPr>
          <w:rFonts w:ascii="宋体" w:hAnsi="宋体" w:cs="宋体"/>
          <w:color w:val="auto"/>
          <w:szCs w:val="21"/>
          <w:highlight w:val="none"/>
        </w:rPr>
      </w:pPr>
    </w:p>
    <w:p w14:paraId="69D6D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805DB48">
      <w:pPr>
        <w:rPr>
          <w:color w:val="auto"/>
          <w:highlight w:val="none"/>
        </w:rPr>
      </w:pPr>
      <w:r>
        <w:rPr>
          <w:color w:val="auto"/>
          <w:highlight w:val="none"/>
        </w:rPr>
        <w:br w:type="page"/>
      </w:r>
    </w:p>
    <w:p w14:paraId="3188D0B9">
      <w:pPr>
        <w:rPr>
          <w:b/>
          <w:bCs/>
          <w:color w:val="auto"/>
          <w:sz w:val="24"/>
          <w:szCs w:val="32"/>
          <w:highlight w:val="none"/>
        </w:rPr>
      </w:pPr>
      <w:r>
        <w:rPr>
          <w:rFonts w:hint="eastAsia"/>
          <w:b/>
          <w:bCs/>
          <w:color w:val="auto"/>
          <w:sz w:val="24"/>
          <w:szCs w:val="32"/>
          <w:highlight w:val="none"/>
        </w:rPr>
        <w:t>格式十：</w:t>
      </w:r>
    </w:p>
    <w:p w14:paraId="177CACEC">
      <w:pPr>
        <w:pStyle w:val="8"/>
        <w:jc w:val="center"/>
        <w:rPr>
          <w:b/>
          <w:bCs/>
          <w:color w:val="auto"/>
          <w:highlight w:val="none"/>
          <w:lang w:val="en-US"/>
        </w:rPr>
      </w:pPr>
      <w:r>
        <w:rPr>
          <w:b/>
          <w:bCs/>
          <w:color w:val="auto"/>
          <w:highlight w:val="none"/>
          <w:lang w:val="en-US"/>
        </w:rPr>
        <w:t>投标人业绩情况表</w:t>
      </w:r>
    </w:p>
    <w:p w14:paraId="4BE69098">
      <w:pPr>
        <w:pStyle w:val="8"/>
        <w:spacing w:before="2" w:after="1"/>
        <w:rPr>
          <w:b/>
          <w:color w:val="auto"/>
          <w:sz w:val="17"/>
          <w:highlight w:val="none"/>
        </w:rPr>
      </w:pPr>
    </w:p>
    <w:tbl>
      <w:tblPr>
        <w:tblStyle w:val="1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vAlign w:val="center"/>
          </w:tcPr>
          <w:p w14:paraId="59A1D415">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vAlign w:val="center"/>
          </w:tcPr>
          <w:p w14:paraId="786BC8F1">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vAlign w:val="center"/>
          </w:tcPr>
          <w:p w14:paraId="58EF315A">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vAlign w:val="center"/>
          </w:tcPr>
          <w:p w14:paraId="06909C49">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vAlign w:val="center"/>
          </w:tcPr>
          <w:p w14:paraId="1D163268">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vAlign w:val="center"/>
          </w:tcPr>
          <w:p w14:paraId="4882BBE8">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cPr>
          <w:p w14:paraId="2105177A">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cPr>
          <w:p w14:paraId="3BC5F02C">
            <w:pPr>
              <w:pStyle w:val="26"/>
              <w:spacing w:line="360" w:lineRule="auto"/>
              <w:rPr>
                <w:rFonts w:ascii="宋体" w:hAnsi="宋体" w:cs="宋体"/>
                <w:color w:val="auto"/>
                <w:szCs w:val="21"/>
                <w:highlight w:val="none"/>
              </w:rPr>
            </w:pPr>
          </w:p>
        </w:tc>
        <w:tc>
          <w:tcPr>
            <w:tcW w:w="1553" w:type="pct"/>
            <w:shd w:val="clear" w:color="auto" w:fill="FFFFFF"/>
          </w:tcPr>
          <w:p w14:paraId="3B395296">
            <w:pPr>
              <w:pStyle w:val="26"/>
              <w:spacing w:line="360" w:lineRule="auto"/>
              <w:rPr>
                <w:rFonts w:ascii="宋体" w:hAnsi="宋体" w:cs="宋体"/>
                <w:color w:val="auto"/>
                <w:szCs w:val="21"/>
                <w:highlight w:val="none"/>
              </w:rPr>
            </w:pPr>
          </w:p>
        </w:tc>
        <w:tc>
          <w:tcPr>
            <w:tcW w:w="779" w:type="pct"/>
            <w:shd w:val="clear" w:color="auto" w:fill="FFFFFF"/>
          </w:tcPr>
          <w:p w14:paraId="54BFD467">
            <w:pPr>
              <w:pStyle w:val="26"/>
              <w:spacing w:line="360" w:lineRule="auto"/>
              <w:rPr>
                <w:rFonts w:ascii="宋体" w:hAnsi="宋体" w:cs="宋体"/>
                <w:color w:val="auto"/>
                <w:szCs w:val="21"/>
                <w:highlight w:val="none"/>
              </w:rPr>
            </w:pPr>
          </w:p>
        </w:tc>
        <w:tc>
          <w:tcPr>
            <w:tcW w:w="1001" w:type="pct"/>
            <w:shd w:val="clear" w:color="auto" w:fill="FFFFFF"/>
          </w:tcPr>
          <w:p w14:paraId="3F5A9750">
            <w:pPr>
              <w:pStyle w:val="26"/>
              <w:spacing w:line="360" w:lineRule="auto"/>
              <w:rPr>
                <w:rFonts w:ascii="宋体" w:hAnsi="宋体" w:cs="宋体"/>
                <w:color w:val="auto"/>
                <w:szCs w:val="21"/>
                <w:highlight w:val="none"/>
              </w:rPr>
            </w:pPr>
          </w:p>
        </w:tc>
        <w:tc>
          <w:tcPr>
            <w:tcW w:w="785" w:type="pct"/>
            <w:shd w:val="clear" w:color="auto" w:fill="FFFFFF"/>
          </w:tcPr>
          <w:p w14:paraId="2396F991">
            <w:pPr>
              <w:pStyle w:val="26"/>
              <w:spacing w:line="360" w:lineRule="auto"/>
              <w:rPr>
                <w:rFonts w:ascii="宋体" w:hAnsi="宋体" w:cs="宋体"/>
                <w:color w:val="auto"/>
                <w:szCs w:val="21"/>
                <w:highlight w:val="none"/>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cPr>
          <w:p w14:paraId="18B9614C">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cPr>
          <w:p w14:paraId="2C2F76A2">
            <w:pPr>
              <w:pStyle w:val="26"/>
              <w:spacing w:line="360" w:lineRule="auto"/>
              <w:rPr>
                <w:rFonts w:ascii="宋体" w:hAnsi="宋体" w:cs="宋体"/>
                <w:color w:val="auto"/>
                <w:szCs w:val="21"/>
                <w:highlight w:val="none"/>
              </w:rPr>
            </w:pPr>
          </w:p>
        </w:tc>
        <w:tc>
          <w:tcPr>
            <w:tcW w:w="1553" w:type="pct"/>
            <w:shd w:val="clear" w:color="auto" w:fill="FFFFFF"/>
          </w:tcPr>
          <w:p w14:paraId="7764A469">
            <w:pPr>
              <w:pStyle w:val="26"/>
              <w:spacing w:line="360" w:lineRule="auto"/>
              <w:rPr>
                <w:rFonts w:ascii="宋体" w:hAnsi="宋体" w:cs="宋体"/>
                <w:color w:val="auto"/>
                <w:szCs w:val="21"/>
                <w:highlight w:val="none"/>
              </w:rPr>
            </w:pPr>
          </w:p>
        </w:tc>
        <w:tc>
          <w:tcPr>
            <w:tcW w:w="779" w:type="pct"/>
            <w:shd w:val="clear" w:color="auto" w:fill="FFFFFF"/>
          </w:tcPr>
          <w:p w14:paraId="6891E7A5">
            <w:pPr>
              <w:pStyle w:val="26"/>
              <w:spacing w:line="360" w:lineRule="auto"/>
              <w:rPr>
                <w:rFonts w:ascii="宋体" w:hAnsi="宋体" w:cs="宋体"/>
                <w:color w:val="auto"/>
                <w:szCs w:val="21"/>
                <w:highlight w:val="none"/>
              </w:rPr>
            </w:pPr>
          </w:p>
        </w:tc>
        <w:tc>
          <w:tcPr>
            <w:tcW w:w="1001" w:type="pct"/>
            <w:shd w:val="clear" w:color="auto" w:fill="FFFFFF"/>
          </w:tcPr>
          <w:p w14:paraId="0F2EAAA0">
            <w:pPr>
              <w:pStyle w:val="26"/>
              <w:spacing w:line="360" w:lineRule="auto"/>
              <w:rPr>
                <w:rFonts w:ascii="宋体" w:hAnsi="宋体" w:cs="宋体"/>
                <w:color w:val="auto"/>
                <w:szCs w:val="21"/>
                <w:highlight w:val="none"/>
              </w:rPr>
            </w:pPr>
          </w:p>
        </w:tc>
        <w:tc>
          <w:tcPr>
            <w:tcW w:w="785" w:type="pct"/>
            <w:shd w:val="clear" w:color="auto" w:fill="FFFFFF"/>
          </w:tcPr>
          <w:p w14:paraId="22EACBFE">
            <w:pPr>
              <w:pStyle w:val="26"/>
              <w:spacing w:line="360" w:lineRule="auto"/>
              <w:rPr>
                <w:rFonts w:ascii="宋体" w:hAnsi="宋体" w:cs="宋体"/>
                <w:color w:val="auto"/>
                <w:szCs w:val="21"/>
                <w:highlight w:val="none"/>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cPr>
          <w:p w14:paraId="63C3A516">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cPr>
          <w:p w14:paraId="2AD02250">
            <w:pPr>
              <w:pStyle w:val="26"/>
              <w:spacing w:line="360" w:lineRule="auto"/>
              <w:rPr>
                <w:rFonts w:ascii="宋体" w:hAnsi="宋体" w:cs="宋体"/>
                <w:color w:val="auto"/>
                <w:szCs w:val="21"/>
                <w:highlight w:val="none"/>
              </w:rPr>
            </w:pPr>
          </w:p>
        </w:tc>
        <w:tc>
          <w:tcPr>
            <w:tcW w:w="1553" w:type="pct"/>
            <w:shd w:val="clear" w:color="auto" w:fill="FFFFFF"/>
          </w:tcPr>
          <w:p w14:paraId="5F8FBA33">
            <w:pPr>
              <w:pStyle w:val="26"/>
              <w:spacing w:line="360" w:lineRule="auto"/>
              <w:rPr>
                <w:rFonts w:ascii="宋体" w:hAnsi="宋体" w:cs="宋体"/>
                <w:color w:val="auto"/>
                <w:szCs w:val="21"/>
                <w:highlight w:val="none"/>
              </w:rPr>
            </w:pPr>
          </w:p>
        </w:tc>
        <w:tc>
          <w:tcPr>
            <w:tcW w:w="779" w:type="pct"/>
            <w:shd w:val="clear" w:color="auto" w:fill="FFFFFF"/>
          </w:tcPr>
          <w:p w14:paraId="497BB646">
            <w:pPr>
              <w:pStyle w:val="26"/>
              <w:spacing w:line="360" w:lineRule="auto"/>
              <w:rPr>
                <w:rFonts w:ascii="宋体" w:hAnsi="宋体" w:cs="宋体"/>
                <w:color w:val="auto"/>
                <w:szCs w:val="21"/>
                <w:highlight w:val="none"/>
              </w:rPr>
            </w:pPr>
          </w:p>
        </w:tc>
        <w:tc>
          <w:tcPr>
            <w:tcW w:w="1001" w:type="pct"/>
            <w:shd w:val="clear" w:color="auto" w:fill="FFFFFF"/>
          </w:tcPr>
          <w:p w14:paraId="1743738A">
            <w:pPr>
              <w:pStyle w:val="26"/>
              <w:spacing w:line="360" w:lineRule="auto"/>
              <w:rPr>
                <w:rFonts w:ascii="宋体" w:hAnsi="宋体" w:cs="宋体"/>
                <w:color w:val="auto"/>
                <w:szCs w:val="21"/>
                <w:highlight w:val="none"/>
              </w:rPr>
            </w:pPr>
          </w:p>
        </w:tc>
        <w:tc>
          <w:tcPr>
            <w:tcW w:w="785" w:type="pct"/>
            <w:shd w:val="clear" w:color="auto" w:fill="FFFFFF"/>
          </w:tcPr>
          <w:p w14:paraId="5068BC83">
            <w:pPr>
              <w:pStyle w:val="26"/>
              <w:spacing w:line="360" w:lineRule="auto"/>
              <w:rPr>
                <w:rFonts w:ascii="宋体" w:hAnsi="宋体" w:cs="宋体"/>
                <w:color w:val="auto"/>
                <w:szCs w:val="21"/>
                <w:highlight w:val="none"/>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698A3DDF">
            <w:pPr>
              <w:pStyle w:val="26"/>
              <w:spacing w:line="360" w:lineRule="auto"/>
              <w:rPr>
                <w:rFonts w:ascii="宋体" w:hAnsi="宋体" w:cs="宋体"/>
                <w:color w:val="auto"/>
                <w:szCs w:val="21"/>
                <w:highlight w:val="none"/>
              </w:rPr>
            </w:pPr>
          </w:p>
        </w:tc>
        <w:tc>
          <w:tcPr>
            <w:tcW w:w="1553" w:type="pct"/>
          </w:tcPr>
          <w:p w14:paraId="359626A1">
            <w:pPr>
              <w:pStyle w:val="26"/>
              <w:spacing w:line="360" w:lineRule="auto"/>
              <w:rPr>
                <w:rFonts w:ascii="宋体" w:hAnsi="宋体" w:cs="宋体"/>
                <w:color w:val="auto"/>
                <w:szCs w:val="21"/>
                <w:highlight w:val="none"/>
              </w:rPr>
            </w:pPr>
          </w:p>
        </w:tc>
        <w:tc>
          <w:tcPr>
            <w:tcW w:w="779" w:type="pct"/>
          </w:tcPr>
          <w:p w14:paraId="3FDDEAC4">
            <w:pPr>
              <w:pStyle w:val="26"/>
              <w:spacing w:line="360" w:lineRule="auto"/>
              <w:rPr>
                <w:rFonts w:ascii="宋体" w:hAnsi="宋体" w:cs="宋体"/>
                <w:color w:val="auto"/>
                <w:szCs w:val="21"/>
                <w:highlight w:val="none"/>
              </w:rPr>
            </w:pPr>
          </w:p>
        </w:tc>
        <w:tc>
          <w:tcPr>
            <w:tcW w:w="1001" w:type="pct"/>
          </w:tcPr>
          <w:p w14:paraId="467DE159">
            <w:pPr>
              <w:pStyle w:val="26"/>
              <w:spacing w:line="360" w:lineRule="auto"/>
              <w:rPr>
                <w:rFonts w:ascii="宋体" w:hAnsi="宋体" w:cs="宋体"/>
                <w:color w:val="auto"/>
                <w:szCs w:val="21"/>
                <w:highlight w:val="none"/>
              </w:rPr>
            </w:pPr>
          </w:p>
        </w:tc>
        <w:tc>
          <w:tcPr>
            <w:tcW w:w="785" w:type="pct"/>
          </w:tcPr>
          <w:p w14:paraId="5B40CB2B">
            <w:pPr>
              <w:pStyle w:val="26"/>
              <w:spacing w:line="360" w:lineRule="auto"/>
              <w:rPr>
                <w:rFonts w:ascii="宋体" w:hAnsi="宋体" w:cs="宋体"/>
                <w:color w:val="auto"/>
                <w:szCs w:val="21"/>
                <w:highlight w:val="none"/>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26"/>
              <w:spacing w:line="360" w:lineRule="auto"/>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716A4122">
            <w:pPr>
              <w:pStyle w:val="26"/>
              <w:spacing w:line="360" w:lineRule="auto"/>
              <w:rPr>
                <w:rFonts w:ascii="宋体" w:hAnsi="宋体" w:cs="宋体"/>
                <w:color w:val="auto"/>
                <w:szCs w:val="21"/>
                <w:highlight w:val="none"/>
              </w:rPr>
            </w:pPr>
          </w:p>
        </w:tc>
        <w:tc>
          <w:tcPr>
            <w:tcW w:w="1553" w:type="pct"/>
          </w:tcPr>
          <w:p w14:paraId="7D5F23CC">
            <w:pPr>
              <w:pStyle w:val="26"/>
              <w:spacing w:line="360" w:lineRule="auto"/>
              <w:rPr>
                <w:rFonts w:ascii="宋体" w:hAnsi="宋体" w:cs="宋体"/>
                <w:color w:val="auto"/>
                <w:szCs w:val="21"/>
                <w:highlight w:val="none"/>
              </w:rPr>
            </w:pPr>
          </w:p>
        </w:tc>
        <w:tc>
          <w:tcPr>
            <w:tcW w:w="779" w:type="pct"/>
          </w:tcPr>
          <w:p w14:paraId="36220304">
            <w:pPr>
              <w:pStyle w:val="26"/>
              <w:spacing w:line="360" w:lineRule="auto"/>
              <w:rPr>
                <w:rFonts w:ascii="宋体" w:hAnsi="宋体" w:cs="宋体"/>
                <w:color w:val="auto"/>
                <w:szCs w:val="21"/>
                <w:highlight w:val="none"/>
              </w:rPr>
            </w:pPr>
          </w:p>
        </w:tc>
        <w:tc>
          <w:tcPr>
            <w:tcW w:w="1001" w:type="pct"/>
          </w:tcPr>
          <w:p w14:paraId="4A53B29B">
            <w:pPr>
              <w:pStyle w:val="26"/>
              <w:spacing w:line="360" w:lineRule="auto"/>
              <w:rPr>
                <w:rFonts w:ascii="宋体" w:hAnsi="宋体" w:cs="宋体"/>
                <w:color w:val="auto"/>
                <w:szCs w:val="21"/>
                <w:highlight w:val="none"/>
              </w:rPr>
            </w:pPr>
          </w:p>
        </w:tc>
        <w:tc>
          <w:tcPr>
            <w:tcW w:w="785" w:type="pct"/>
          </w:tcPr>
          <w:p w14:paraId="160AC1B1">
            <w:pPr>
              <w:pStyle w:val="26"/>
              <w:spacing w:line="360" w:lineRule="auto"/>
              <w:rPr>
                <w:rFonts w:ascii="宋体" w:hAnsi="宋体" w:cs="宋体"/>
                <w:color w:val="auto"/>
                <w:szCs w:val="21"/>
                <w:highlight w:val="none"/>
              </w:rPr>
            </w:pPr>
          </w:p>
        </w:tc>
      </w:tr>
    </w:tbl>
    <w:p w14:paraId="275DB757">
      <w:pPr>
        <w:rPr>
          <w:rFonts w:ascii="宋体" w:hAnsi="宋体" w:cs="宋体"/>
          <w:color w:val="auto"/>
          <w:szCs w:val="21"/>
          <w:highlight w:val="none"/>
        </w:rPr>
      </w:pPr>
      <w:r>
        <w:rPr>
          <w:rFonts w:hint="eastAsia" w:ascii="宋体" w:hAnsi="宋体" w:cs="宋体"/>
          <w:color w:val="auto"/>
          <w:szCs w:val="21"/>
          <w:highlight w:val="none"/>
        </w:rPr>
        <w:t>根据上述业绩情况，按招标文件要求附销售或服务合同复印件及评审标准要求的证明材料。</w:t>
      </w:r>
    </w:p>
    <w:p w14:paraId="0E4CFDAA">
      <w:pPr>
        <w:rPr>
          <w:rFonts w:ascii="宋体" w:hAnsi="宋体" w:cs="宋体"/>
          <w:color w:val="auto"/>
          <w:szCs w:val="21"/>
          <w:highlight w:val="none"/>
        </w:rPr>
      </w:pPr>
      <w:r>
        <w:rPr>
          <w:rFonts w:hint="eastAsia" w:ascii="宋体" w:hAnsi="宋体" w:cs="宋体"/>
          <w:color w:val="auto"/>
          <w:szCs w:val="21"/>
          <w:highlight w:val="none"/>
        </w:rPr>
        <w:br w:type="page"/>
      </w:r>
    </w:p>
    <w:p w14:paraId="34588AF4">
      <w:pPr>
        <w:pStyle w:val="8"/>
        <w:rPr>
          <w:b/>
          <w:bCs/>
          <w:color w:val="auto"/>
          <w:highlight w:val="none"/>
          <w:lang w:val="en-US"/>
        </w:rPr>
      </w:pPr>
      <w:r>
        <w:rPr>
          <w:rFonts w:hint="eastAsia"/>
          <w:b/>
          <w:bCs/>
          <w:color w:val="auto"/>
          <w:highlight w:val="none"/>
          <w:lang w:val="en-US"/>
        </w:rPr>
        <w:t>格式十一：</w:t>
      </w:r>
    </w:p>
    <w:p w14:paraId="4F65DCDF">
      <w:pPr>
        <w:jc w:val="center"/>
        <w:rPr>
          <w:b/>
          <w:bCs/>
          <w:color w:val="auto"/>
          <w:sz w:val="24"/>
          <w:szCs w:val="32"/>
          <w:highlight w:val="none"/>
        </w:rPr>
      </w:pPr>
      <w:r>
        <w:rPr>
          <w:b/>
          <w:bCs/>
          <w:color w:val="auto"/>
          <w:sz w:val="24"/>
          <w:szCs w:val="32"/>
          <w:highlight w:val="none"/>
        </w:rPr>
        <w:t>技术要求响应表</w:t>
      </w:r>
    </w:p>
    <w:p w14:paraId="48A49A19">
      <w:pPr>
        <w:pStyle w:val="8"/>
        <w:rPr>
          <w:color w:val="auto"/>
          <w:highlight w:val="none"/>
          <w:lang w:val="en-US"/>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8B4AE">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序号</w:t>
            </w:r>
          </w:p>
        </w:tc>
        <w:tc>
          <w:tcPr>
            <w:tcW w:w="0" w:type="auto"/>
            <w:vAlign w:val="center"/>
          </w:tcPr>
          <w:p w14:paraId="0BF94229">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0" w:type="auto"/>
            <w:vAlign w:val="center"/>
          </w:tcPr>
          <w:p w14:paraId="670B6FE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参数性质</w:t>
            </w:r>
          </w:p>
        </w:tc>
        <w:tc>
          <w:tcPr>
            <w:tcW w:w="0" w:type="auto"/>
            <w:vAlign w:val="center"/>
          </w:tcPr>
          <w:p w14:paraId="2682BD62">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招标文件规定的技术要求</w:t>
            </w:r>
          </w:p>
        </w:tc>
        <w:tc>
          <w:tcPr>
            <w:tcW w:w="0" w:type="auto"/>
            <w:vAlign w:val="center"/>
          </w:tcPr>
          <w:p w14:paraId="1222E08A">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投标文件响应的具体内容</w:t>
            </w:r>
          </w:p>
        </w:tc>
        <w:tc>
          <w:tcPr>
            <w:tcW w:w="0" w:type="auto"/>
            <w:vAlign w:val="center"/>
          </w:tcPr>
          <w:p w14:paraId="63BD8D88">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是否偏离</w:t>
            </w:r>
          </w:p>
        </w:tc>
        <w:tc>
          <w:tcPr>
            <w:tcW w:w="0" w:type="auto"/>
            <w:vAlign w:val="center"/>
          </w:tcPr>
          <w:p w14:paraId="39D5B41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证明文件所在位置</w:t>
            </w:r>
          </w:p>
        </w:tc>
        <w:tc>
          <w:tcPr>
            <w:tcW w:w="0" w:type="auto"/>
            <w:vAlign w:val="center"/>
          </w:tcPr>
          <w:p w14:paraId="00602BC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0" w:type="auto"/>
            <w:vAlign w:val="center"/>
          </w:tcPr>
          <w:p w14:paraId="30A98B06">
            <w:pPr>
              <w:pStyle w:val="8"/>
              <w:spacing w:before="0" w:line="360" w:lineRule="auto"/>
              <w:ind w:left="0"/>
              <w:jc w:val="center"/>
              <w:rPr>
                <w:color w:val="auto"/>
                <w:sz w:val="21"/>
                <w:szCs w:val="21"/>
                <w:highlight w:val="none"/>
                <w:lang w:val="en-US"/>
              </w:rPr>
            </w:pPr>
          </w:p>
        </w:tc>
        <w:tc>
          <w:tcPr>
            <w:tcW w:w="0" w:type="auto"/>
            <w:vAlign w:val="center"/>
          </w:tcPr>
          <w:p w14:paraId="20E2995B">
            <w:pPr>
              <w:pStyle w:val="8"/>
              <w:spacing w:before="0" w:line="360" w:lineRule="auto"/>
              <w:ind w:left="0"/>
              <w:jc w:val="center"/>
              <w:rPr>
                <w:color w:val="auto"/>
                <w:sz w:val="21"/>
                <w:szCs w:val="21"/>
                <w:highlight w:val="none"/>
                <w:lang w:val="en-US"/>
              </w:rPr>
            </w:pPr>
          </w:p>
        </w:tc>
        <w:tc>
          <w:tcPr>
            <w:tcW w:w="0" w:type="auto"/>
            <w:vAlign w:val="center"/>
          </w:tcPr>
          <w:p w14:paraId="504E4CF0">
            <w:pPr>
              <w:pStyle w:val="8"/>
              <w:spacing w:before="0" w:line="360" w:lineRule="auto"/>
              <w:ind w:left="0"/>
              <w:jc w:val="center"/>
              <w:rPr>
                <w:color w:val="auto"/>
                <w:sz w:val="21"/>
                <w:szCs w:val="21"/>
                <w:highlight w:val="none"/>
                <w:lang w:val="en-US"/>
              </w:rPr>
            </w:pPr>
          </w:p>
        </w:tc>
        <w:tc>
          <w:tcPr>
            <w:tcW w:w="0" w:type="auto"/>
            <w:vAlign w:val="center"/>
          </w:tcPr>
          <w:p w14:paraId="34D5372F">
            <w:pPr>
              <w:pStyle w:val="8"/>
              <w:spacing w:before="0" w:line="360" w:lineRule="auto"/>
              <w:ind w:left="0"/>
              <w:jc w:val="center"/>
              <w:rPr>
                <w:color w:val="auto"/>
                <w:sz w:val="21"/>
                <w:szCs w:val="21"/>
                <w:highlight w:val="none"/>
                <w:lang w:val="en-US"/>
              </w:rPr>
            </w:pPr>
          </w:p>
        </w:tc>
        <w:tc>
          <w:tcPr>
            <w:tcW w:w="0" w:type="auto"/>
            <w:vAlign w:val="center"/>
          </w:tcPr>
          <w:p w14:paraId="77CF92C3">
            <w:pPr>
              <w:pStyle w:val="8"/>
              <w:spacing w:before="0" w:line="360" w:lineRule="auto"/>
              <w:ind w:left="0"/>
              <w:jc w:val="center"/>
              <w:rPr>
                <w:color w:val="auto"/>
                <w:sz w:val="21"/>
                <w:szCs w:val="21"/>
                <w:highlight w:val="none"/>
                <w:lang w:val="en-US"/>
              </w:rPr>
            </w:pPr>
          </w:p>
        </w:tc>
        <w:tc>
          <w:tcPr>
            <w:tcW w:w="0" w:type="auto"/>
            <w:vAlign w:val="center"/>
          </w:tcPr>
          <w:p w14:paraId="50F0D621">
            <w:pPr>
              <w:pStyle w:val="8"/>
              <w:spacing w:before="0" w:line="360" w:lineRule="auto"/>
              <w:ind w:left="0"/>
              <w:jc w:val="center"/>
              <w:rPr>
                <w:color w:val="auto"/>
                <w:sz w:val="21"/>
                <w:szCs w:val="21"/>
                <w:highlight w:val="none"/>
                <w:lang w:val="en-US"/>
              </w:rPr>
            </w:pPr>
          </w:p>
        </w:tc>
        <w:tc>
          <w:tcPr>
            <w:tcW w:w="0" w:type="auto"/>
            <w:vAlign w:val="center"/>
          </w:tcPr>
          <w:p w14:paraId="3D2E71B5">
            <w:pPr>
              <w:pStyle w:val="8"/>
              <w:spacing w:before="0" w:line="360" w:lineRule="auto"/>
              <w:ind w:left="0"/>
              <w:jc w:val="center"/>
              <w:rPr>
                <w:color w:val="auto"/>
                <w:sz w:val="21"/>
                <w:szCs w:val="21"/>
                <w:highlight w:val="none"/>
                <w:lang w:val="en-US"/>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0" w:type="auto"/>
            <w:vAlign w:val="center"/>
          </w:tcPr>
          <w:p w14:paraId="41E5D168">
            <w:pPr>
              <w:pStyle w:val="8"/>
              <w:spacing w:before="0" w:line="360" w:lineRule="auto"/>
              <w:ind w:left="0"/>
              <w:jc w:val="center"/>
              <w:rPr>
                <w:color w:val="auto"/>
                <w:sz w:val="21"/>
                <w:szCs w:val="21"/>
                <w:highlight w:val="none"/>
                <w:lang w:val="en-US"/>
              </w:rPr>
            </w:pPr>
          </w:p>
        </w:tc>
        <w:tc>
          <w:tcPr>
            <w:tcW w:w="0" w:type="auto"/>
            <w:vAlign w:val="center"/>
          </w:tcPr>
          <w:p w14:paraId="7C2F2A0A">
            <w:pPr>
              <w:pStyle w:val="8"/>
              <w:spacing w:before="0" w:line="360" w:lineRule="auto"/>
              <w:ind w:left="0"/>
              <w:jc w:val="center"/>
              <w:rPr>
                <w:color w:val="auto"/>
                <w:sz w:val="21"/>
                <w:szCs w:val="21"/>
                <w:highlight w:val="none"/>
                <w:lang w:val="en-US"/>
              </w:rPr>
            </w:pPr>
          </w:p>
        </w:tc>
        <w:tc>
          <w:tcPr>
            <w:tcW w:w="0" w:type="auto"/>
            <w:vAlign w:val="center"/>
          </w:tcPr>
          <w:p w14:paraId="103B3B5C">
            <w:pPr>
              <w:pStyle w:val="8"/>
              <w:spacing w:before="0" w:line="360" w:lineRule="auto"/>
              <w:ind w:left="0"/>
              <w:jc w:val="center"/>
              <w:rPr>
                <w:color w:val="auto"/>
                <w:sz w:val="21"/>
                <w:szCs w:val="21"/>
                <w:highlight w:val="none"/>
                <w:lang w:val="en-US"/>
              </w:rPr>
            </w:pPr>
          </w:p>
        </w:tc>
        <w:tc>
          <w:tcPr>
            <w:tcW w:w="0" w:type="auto"/>
            <w:vAlign w:val="center"/>
          </w:tcPr>
          <w:p w14:paraId="46461630">
            <w:pPr>
              <w:pStyle w:val="8"/>
              <w:spacing w:before="0" w:line="360" w:lineRule="auto"/>
              <w:ind w:left="0"/>
              <w:jc w:val="center"/>
              <w:rPr>
                <w:color w:val="auto"/>
                <w:sz w:val="21"/>
                <w:szCs w:val="21"/>
                <w:highlight w:val="none"/>
                <w:lang w:val="en-US"/>
              </w:rPr>
            </w:pPr>
          </w:p>
        </w:tc>
        <w:tc>
          <w:tcPr>
            <w:tcW w:w="0" w:type="auto"/>
            <w:vAlign w:val="center"/>
          </w:tcPr>
          <w:p w14:paraId="70AF070C">
            <w:pPr>
              <w:pStyle w:val="8"/>
              <w:spacing w:before="0" w:line="360" w:lineRule="auto"/>
              <w:ind w:left="0"/>
              <w:jc w:val="center"/>
              <w:rPr>
                <w:color w:val="auto"/>
                <w:sz w:val="21"/>
                <w:szCs w:val="21"/>
                <w:highlight w:val="none"/>
                <w:lang w:val="en-US"/>
              </w:rPr>
            </w:pPr>
          </w:p>
        </w:tc>
        <w:tc>
          <w:tcPr>
            <w:tcW w:w="0" w:type="auto"/>
            <w:vAlign w:val="center"/>
          </w:tcPr>
          <w:p w14:paraId="19791865">
            <w:pPr>
              <w:pStyle w:val="8"/>
              <w:spacing w:before="0" w:line="360" w:lineRule="auto"/>
              <w:ind w:left="0"/>
              <w:jc w:val="center"/>
              <w:rPr>
                <w:color w:val="auto"/>
                <w:sz w:val="21"/>
                <w:szCs w:val="21"/>
                <w:highlight w:val="none"/>
                <w:lang w:val="en-US"/>
              </w:rPr>
            </w:pPr>
          </w:p>
        </w:tc>
        <w:tc>
          <w:tcPr>
            <w:tcW w:w="0" w:type="auto"/>
            <w:vAlign w:val="center"/>
          </w:tcPr>
          <w:p w14:paraId="47CA76FD">
            <w:pPr>
              <w:pStyle w:val="8"/>
              <w:spacing w:before="0" w:line="360" w:lineRule="auto"/>
              <w:ind w:left="0"/>
              <w:jc w:val="center"/>
              <w:rPr>
                <w:color w:val="auto"/>
                <w:sz w:val="21"/>
                <w:szCs w:val="21"/>
                <w:highlight w:val="none"/>
                <w:lang w:val="en-US"/>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0" w:type="auto"/>
            <w:vAlign w:val="center"/>
          </w:tcPr>
          <w:p w14:paraId="7ADA5BAF">
            <w:pPr>
              <w:pStyle w:val="8"/>
              <w:spacing w:before="0" w:line="360" w:lineRule="auto"/>
              <w:ind w:left="0"/>
              <w:jc w:val="center"/>
              <w:rPr>
                <w:color w:val="auto"/>
                <w:sz w:val="21"/>
                <w:szCs w:val="21"/>
                <w:highlight w:val="none"/>
                <w:lang w:val="en-US"/>
              </w:rPr>
            </w:pPr>
          </w:p>
        </w:tc>
        <w:tc>
          <w:tcPr>
            <w:tcW w:w="0" w:type="auto"/>
            <w:vAlign w:val="center"/>
          </w:tcPr>
          <w:p w14:paraId="27B68F61">
            <w:pPr>
              <w:pStyle w:val="8"/>
              <w:spacing w:before="0" w:line="360" w:lineRule="auto"/>
              <w:ind w:left="0"/>
              <w:jc w:val="center"/>
              <w:rPr>
                <w:color w:val="auto"/>
                <w:sz w:val="21"/>
                <w:szCs w:val="21"/>
                <w:highlight w:val="none"/>
                <w:lang w:val="en-US"/>
              </w:rPr>
            </w:pPr>
          </w:p>
        </w:tc>
        <w:tc>
          <w:tcPr>
            <w:tcW w:w="0" w:type="auto"/>
            <w:vAlign w:val="center"/>
          </w:tcPr>
          <w:p w14:paraId="5A52E33B">
            <w:pPr>
              <w:pStyle w:val="8"/>
              <w:spacing w:before="0" w:line="360" w:lineRule="auto"/>
              <w:ind w:left="0"/>
              <w:jc w:val="center"/>
              <w:rPr>
                <w:color w:val="auto"/>
                <w:sz w:val="21"/>
                <w:szCs w:val="21"/>
                <w:highlight w:val="none"/>
                <w:lang w:val="en-US"/>
              </w:rPr>
            </w:pPr>
          </w:p>
        </w:tc>
        <w:tc>
          <w:tcPr>
            <w:tcW w:w="0" w:type="auto"/>
            <w:vAlign w:val="center"/>
          </w:tcPr>
          <w:p w14:paraId="07E46697">
            <w:pPr>
              <w:pStyle w:val="8"/>
              <w:spacing w:before="0" w:line="360" w:lineRule="auto"/>
              <w:ind w:left="0"/>
              <w:jc w:val="center"/>
              <w:rPr>
                <w:color w:val="auto"/>
                <w:sz w:val="21"/>
                <w:szCs w:val="21"/>
                <w:highlight w:val="none"/>
                <w:lang w:val="en-US"/>
              </w:rPr>
            </w:pPr>
          </w:p>
        </w:tc>
        <w:tc>
          <w:tcPr>
            <w:tcW w:w="0" w:type="auto"/>
            <w:vAlign w:val="center"/>
          </w:tcPr>
          <w:p w14:paraId="4F378BC3">
            <w:pPr>
              <w:pStyle w:val="8"/>
              <w:spacing w:before="0" w:line="360" w:lineRule="auto"/>
              <w:ind w:left="0"/>
              <w:jc w:val="center"/>
              <w:rPr>
                <w:color w:val="auto"/>
                <w:sz w:val="21"/>
                <w:szCs w:val="21"/>
                <w:highlight w:val="none"/>
                <w:lang w:val="en-US"/>
              </w:rPr>
            </w:pPr>
          </w:p>
        </w:tc>
        <w:tc>
          <w:tcPr>
            <w:tcW w:w="0" w:type="auto"/>
            <w:vAlign w:val="center"/>
          </w:tcPr>
          <w:p w14:paraId="57E0990C">
            <w:pPr>
              <w:pStyle w:val="8"/>
              <w:spacing w:before="0" w:line="360" w:lineRule="auto"/>
              <w:ind w:left="0"/>
              <w:jc w:val="center"/>
              <w:rPr>
                <w:color w:val="auto"/>
                <w:sz w:val="21"/>
                <w:szCs w:val="21"/>
                <w:highlight w:val="none"/>
                <w:lang w:val="en-US"/>
              </w:rPr>
            </w:pPr>
          </w:p>
        </w:tc>
        <w:tc>
          <w:tcPr>
            <w:tcW w:w="0" w:type="auto"/>
            <w:vAlign w:val="center"/>
          </w:tcPr>
          <w:p w14:paraId="0AD67E4B">
            <w:pPr>
              <w:pStyle w:val="8"/>
              <w:spacing w:before="0" w:line="360" w:lineRule="auto"/>
              <w:ind w:left="0"/>
              <w:jc w:val="center"/>
              <w:rPr>
                <w:color w:val="auto"/>
                <w:sz w:val="21"/>
                <w:szCs w:val="21"/>
                <w:highlight w:val="none"/>
                <w:lang w:val="en-US"/>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0" w:type="auto"/>
            <w:vAlign w:val="center"/>
          </w:tcPr>
          <w:p w14:paraId="2D3D96D3">
            <w:pPr>
              <w:pStyle w:val="8"/>
              <w:spacing w:before="0" w:line="360" w:lineRule="auto"/>
              <w:ind w:left="0"/>
              <w:jc w:val="center"/>
              <w:rPr>
                <w:color w:val="auto"/>
                <w:sz w:val="21"/>
                <w:szCs w:val="21"/>
                <w:highlight w:val="none"/>
                <w:lang w:val="en-US"/>
              </w:rPr>
            </w:pPr>
          </w:p>
        </w:tc>
        <w:tc>
          <w:tcPr>
            <w:tcW w:w="0" w:type="auto"/>
            <w:vAlign w:val="center"/>
          </w:tcPr>
          <w:p w14:paraId="7CBAE2CD">
            <w:pPr>
              <w:pStyle w:val="8"/>
              <w:spacing w:before="0" w:line="360" w:lineRule="auto"/>
              <w:ind w:left="0"/>
              <w:jc w:val="center"/>
              <w:rPr>
                <w:color w:val="auto"/>
                <w:sz w:val="21"/>
                <w:szCs w:val="21"/>
                <w:highlight w:val="none"/>
                <w:lang w:val="en-US"/>
              </w:rPr>
            </w:pPr>
          </w:p>
        </w:tc>
        <w:tc>
          <w:tcPr>
            <w:tcW w:w="0" w:type="auto"/>
            <w:vAlign w:val="center"/>
          </w:tcPr>
          <w:p w14:paraId="79A83FC5">
            <w:pPr>
              <w:pStyle w:val="8"/>
              <w:spacing w:before="0" w:line="360" w:lineRule="auto"/>
              <w:ind w:left="0"/>
              <w:jc w:val="center"/>
              <w:rPr>
                <w:color w:val="auto"/>
                <w:sz w:val="21"/>
                <w:szCs w:val="21"/>
                <w:highlight w:val="none"/>
                <w:lang w:val="en-US"/>
              </w:rPr>
            </w:pPr>
          </w:p>
        </w:tc>
        <w:tc>
          <w:tcPr>
            <w:tcW w:w="0" w:type="auto"/>
            <w:vAlign w:val="center"/>
          </w:tcPr>
          <w:p w14:paraId="2DBC9F19">
            <w:pPr>
              <w:pStyle w:val="8"/>
              <w:spacing w:before="0" w:line="360" w:lineRule="auto"/>
              <w:ind w:left="0"/>
              <w:jc w:val="center"/>
              <w:rPr>
                <w:color w:val="auto"/>
                <w:sz w:val="21"/>
                <w:szCs w:val="21"/>
                <w:highlight w:val="none"/>
                <w:lang w:val="en-US"/>
              </w:rPr>
            </w:pPr>
          </w:p>
        </w:tc>
        <w:tc>
          <w:tcPr>
            <w:tcW w:w="0" w:type="auto"/>
            <w:vAlign w:val="center"/>
          </w:tcPr>
          <w:p w14:paraId="54713417">
            <w:pPr>
              <w:pStyle w:val="8"/>
              <w:spacing w:before="0" w:line="360" w:lineRule="auto"/>
              <w:ind w:left="0"/>
              <w:jc w:val="center"/>
              <w:rPr>
                <w:color w:val="auto"/>
                <w:sz w:val="21"/>
                <w:szCs w:val="21"/>
                <w:highlight w:val="none"/>
                <w:lang w:val="en-US"/>
              </w:rPr>
            </w:pPr>
          </w:p>
        </w:tc>
        <w:tc>
          <w:tcPr>
            <w:tcW w:w="0" w:type="auto"/>
            <w:vAlign w:val="center"/>
          </w:tcPr>
          <w:p w14:paraId="667EDB0C">
            <w:pPr>
              <w:pStyle w:val="8"/>
              <w:spacing w:before="0" w:line="360" w:lineRule="auto"/>
              <w:ind w:left="0"/>
              <w:jc w:val="center"/>
              <w:rPr>
                <w:color w:val="auto"/>
                <w:sz w:val="21"/>
                <w:szCs w:val="21"/>
                <w:highlight w:val="none"/>
                <w:lang w:val="en-US"/>
              </w:rPr>
            </w:pPr>
          </w:p>
        </w:tc>
        <w:tc>
          <w:tcPr>
            <w:tcW w:w="0" w:type="auto"/>
            <w:vAlign w:val="center"/>
          </w:tcPr>
          <w:p w14:paraId="124B9836">
            <w:pPr>
              <w:pStyle w:val="8"/>
              <w:spacing w:before="0" w:line="360" w:lineRule="auto"/>
              <w:ind w:left="0"/>
              <w:jc w:val="center"/>
              <w:rPr>
                <w:color w:val="auto"/>
                <w:sz w:val="21"/>
                <w:szCs w:val="21"/>
                <w:highlight w:val="none"/>
                <w:lang w:val="en-US"/>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w:t>
            </w:r>
          </w:p>
        </w:tc>
        <w:tc>
          <w:tcPr>
            <w:tcW w:w="0" w:type="auto"/>
            <w:vAlign w:val="center"/>
          </w:tcPr>
          <w:p w14:paraId="68051DD7">
            <w:pPr>
              <w:pStyle w:val="8"/>
              <w:spacing w:before="0" w:line="360" w:lineRule="auto"/>
              <w:ind w:left="0"/>
              <w:jc w:val="center"/>
              <w:rPr>
                <w:color w:val="auto"/>
                <w:sz w:val="21"/>
                <w:szCs w:val="21"/>
                <w:highlight w:val="none"/>
                <w:lang w:val="en-US"/>
              </w:rPr>
            </w:pPr>
          </w:p>
        </w:tc>
        <w:tc>
          <w:tcPr>
            <w:tcW w:w="0" w:type="auto"/>
            <w:vAlign w:val="center"/>
          </w:tcPr>
          <w:p w14:paraId="1183E979">
            <w:pPr>
              <w:pStyle w:val="8"/>
              <w:spacing w:before="0" w:line="360" w:lineRule="auto"/>
              <w:ind w:left="0"/>
              <w:jc w:val="center"/>
              <w:rPr>
                <w:color w:val="auto"/>
                <w:sz w:val="21"/>
                <w:szCs w:val="21"/>
                <w:highlight w:val="none"/>
                <w:lang w:val="en-US"/>
              </w:rPr>
            </w:pPr>
          </w:p>
        </w:tc>
        <w:tc>
          <w:tcPr>
            <w:tcW w:w="0" w:type="auto"/>
            <w:vAlign w:val="center"/>
          </w:tcPr>
          <w:p w14:paraId="02AD4D2D">
            <w:pPr>
              <w:pStyle w:val="8"/>
              <w:spacing w:before="0" w:line="360" w:lineRule="auto"/>
              <w:ind w:left="0"/>
              <w:jc w:val="center"/>
              <w:rPr>
                <w:color w:val="auto"/>
                <w:sz w:val="21"/>
                <w:szCs w:val="21"/>
                <w:highlight w:val="none"/>
                <w:lang w:val="en-US"/>
              </w:rPr>
            </w:pPr>
          </w:p>
        </w:tc>
        <w:tc>
          <w:tcPr>
            <w:tcW w:w="0" w:type="auto"/>
            <w:vAlign w:val="center"/>
          </w:tcPr>
          <w:p w14:paraId="2615D5C4">
            <w:pPr>
              <w:pStyle w:val="8"/>
              <w:spacing w:before="0" w:line="360" w:lineRule="auto"/>
              <w:ind w:left="0"/>
              <w:jc w:val="center"/>
              <w:rPr>
                <w:color w:val="auto"/>
                <w:sz w:val="21"/>
                <w:szCs w:val="21"/>
                <w:highlight w:val="none"/>
                <w:lang w:val="en-US"/>
              </w:rPr>
            </w:pPr>
          </w:p>
        </w:tc>
        <w:tc>
          <w:tcPr>
            <w:tcW w:w="0" w:type="auto"/>
            <w:vAlign w:val="center"/>
          </w:tcPr>
          <w:p w14:paraId="15CFD639">
            <w:pPr>
              <w:pStyle w:val="8"/>
              <w:spacing w:before="0" w:line="360" w:lineRule="auto"/>
              <w:ind w:left="0"/>
              <w:jc w:val="center"/>
              <w:rPr>
                <w:color w:val="auto"/>
                <w:sz w:val="21"/>
                <w:szCs w:val="21"/>
                <w:highlight w:val="none"/>
                <w:lang w:val="en-US"/>
              </w:rPr>
            </w:pPr>
          </w:p>
        </w:tc>
        <w:tc>
          <w:tcPr>
            <w:tcW w:w="0" w:type="auto"/>
            <w:vAlign w:val="center"/>
          </w:tcPr>
          <w:p w14:paraId="517C636C">
            <w:pPr>
              <w:pStyle w:val="8"/>
              <w:spacing w:before="0" w:line="360" w:lineRule="auto"/>
              <w:ind w:left="0"/>
              <w:jc w:val="center"/>
              <w:rPr>
                <w:color w:val="auto"/>
                <w:sz w:val="21"/>
                <w:szCs w:val="21"/>
                <w:highlight w:val="none"/>
                <w:lang w:val="en-US"/>
              </w:rPr>
            </w:pPr>
          </w:p>
        </w:tc>
        <w:tc>
          <w:tcPr>
            <w:tcW w:w="0" w:type="auto"/>
            <w:vAlign w:val="center"/>
          </w:tcPr>
          <w:p w14:paraId="3E512883">
            <w:pPr>
              <w:pStyle w:val="8"/>
              <w:spacing w:before="0" w:line="360" w:lineRule="auto"/>
              <w:ind w:left="0"/>
              <w:jc w:val="center"/>
              <w:rPr>
                <w:color w:val="auto"/>
                <w:sz w:val="21"/>
                <w:szCs w:val="21"/>
                <w:highlight w:val="none"/>
                <w:lang w:val="en-US"/>
              </w:rPr>
            </w:pPr>
          </w:p>
        </w:tc>
      </w:tr>
    </w:tbl>
    <w:p w14:paraId="60CB75DC">
      <w:pPr>
        <w:pStyle w:val="8"/>
        <w:rPr>
          <w:color w:val="auto"/>
          <w:highlight w:val="none"/>
          <w:lang w:val="en-US"/>
        </w:rPr>
      </w:pPr>
    </w:p>
    <w:p w14:paraId="3460A522">
      <w:pPr>
        <w:rPr>
          <w:color w:val="auto"/>
          <w:highlight w:val="none"/>
        </w:rPr>
      </w:pPr>
    </w:p>
    <w:p w14:paraId="6F115E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说明：</w:t>
      </w:r>
    </w:p>
    <w:p w14:paraId="1AB9BE5A">
      <w:pPr>
        <w:pStyle w:val="24"/>
        <w:tabs>
          <w:tab w:val="left" w:pos="731"/>
        </w:tabs>
        <w:autoSpaceDE w:val="0"/>
        <w:autoSpaceDN w:val="0"/>
        <w:spacing w:line="360" w:lineRule="auto"/>
        <w:ind w:firstLine="423"/>
        <w:rPr>
          <w:rFonts w:ascii="宋体" w:hAnsi="宋体" w:cs="宋体"/>
          <w:color w:val="auto"/>
          <w:w w:val="101"/>
          <w:szCs w:val="21"/>
          <w:highlight w:val="none"/>
        </w:rPr>
      </w:pPr>
    </w:p>
    <w:p w14:paraId="7F604B1E">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1.“招标文件规定的技术要求”项下填写的内容应与招标文件中用户需求书的 “技术要求”的内容保持一致。</w:t>
      </w:r>
    </w:p>
    <w:p w14:paraId="0CE2F69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“是否偏离”项下应按下列规定填写：优于的，填写“正偏离”；符合的，填写“无偏离”；低于的，填写“负偏离”。</w:t>
      </w:r>
    </w:p>
    <w:p w14:paraId="316ACB8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6BCEEE1E">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F338C97">
      <w:pPr>
        <w:rPr>
          <w:b/>
          <w:bCs/>
          <w:color w:val="auto"/>
          <w:sz w:val="24"/>
          <w:highlight w:val="none"/>
        </w:rPr>
      </w:pPr>
      <w:r>
        <w:rPr>
          <w:rFonts w:hint="eastAsia"/>
          <w:b/>
          <w:bCs/>
          <w:color w:val="auto"/>
          <w:sz w:val="24"/>
          <w:highlight w:val="none"/>
        </w:rPr>
        <w:t>格式十二：</w:t>
      </w:r>
    </w:p>
    <w:p w14:paraId="32E827F6">
      <w:pPr>
        <w:pStyle w:val="8"/>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ABFFDB7">
      <w:pPr>
        <w:rPr>
          <w:b/>
          <w:bCs/>
          <w:color w:val="auto"/>
          <w:sz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97566A3">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序号</w:t>
            </w:r>
          </w:p>
        </w:tc>
        <w:tc>
          <w:tcPr>
            <w:tcW w:w="814" w:type="dxa"/>
            <w:vAlign w:val="center"/>
          </w:tcPr>
          <w:p w14:paraId="4A6229A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814" w:type="dxa"/>
            <w:vAlign w:val="center"/>
          </w:tcPr>
          <w:p w14:paraId="2FBE424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参数性质</w:t>
            </w:r>
          </w:p>
        </w:tc>
        <w:tc>
          <w:tcPr>
            <w:tcW w:w="1900" w:type="dxa"/>
            <w:vAlign w:val="center"/>
          </w:tcPr>
          <w:p w14:paraId="4EB6C89D">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招标文件规定的商务要求</w:t>
            </w:r>
          </w:p>
        </w:tc>
        <w:tc>
          <w:tcPr>
            <w:tcW w:w="1900" w:type="dxa"/>
            <w:vAlign w:val="center"/>
          </w:tcPr>
          <w:p w14:paraId="500E7E5B">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投标文件响应的具体内容</w:t>
            </w:r>
          </w:p>
        </w:tc>
        <w:tc>
          <w:tcPr>
            <w:tcW w:w="647" w:type="dxa"/>
            <w:vAlign w:val="center"/>
          </w:tcPr>
          <w:p w14:paraId="389C5016">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是否偏离</w:t>
            </w:r>
          </w:p>
        </w:tc>
        <w:tc>
          <w:tcPr>
            <w:tcW w:w="1386" w:type="dxa"/>
            <w:vAlign w:val="center"/>
          </w:tcPr>
          <w:p w14:paraId="6950A67A">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证明文件所在位置</w:t>
            </w:r>
          </w:p>
        </w:tc>
        <w:tc>
          <w:tcPr>
            <w:tcW w:w="529" w:type="dxa"/>
            <w:vAlign w:val="center"/>
          </w:tcPr>
          <w:p w14:paraId="5667D8E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814" w:type="dxa"/>
            <w:vAlign w:val="center"/>
          </w:tcPr>
          <w:p w14:paraId="2BF07E4D">
            <w:pPr>
              <w:pStyle w:val="8"/>
              <w:spacing w:before="0" w:line="360" w:lineRule="auto"/>
              <w:ind w:left="0"/>
              <w:jc w:val="center"/>
              <w:rPr>
                <w:color w:val="auto"/>
                <w:sz w:val="21"/>
                <w:szCs w:val="21"/>
                <w:highlight w:val="none"/>
                <w:lang w:val="en-US"/>
              </w:rPr>
            </w:pPr>
          </w:p>
        </w:tc>
        <w:tc>
          <w:tcPr>
            <w:tcW w:w="814" w:type="dxa"/>
            <w:vAlign w:val="center"/>
          </w:tcPr>
          <w:p w14:paraId="004490A1">
            <w:pPr>
              <w:pStyle w:val="8"/>
              <w:spacing w:before="0" w:line="360" w:lineRule="auto"/>
              <w:ind w:left="0"/>
              <w:jc w:val="center"/>
              <w:rPr>
                <w:color w:val="auto"/>
                <w:sz w:val="21"/>
                <w:szCs w:val="21"/>
                <w:highlight w:val="none"/>
                <w:lang w:val="en-US"/>
              </w:rPr>
            </w:pPr>
          </w:p>
        </w:tc>
        <w:tc>
          <w:tcPr>
            <w:tcW w:w="1900" w:type="dxa"/>
            <w:vAlign w:val="center"/>
          </w:tcPr>
          <w:p w14:paraId="792951CD">
            <w:pPr>
              <w:pStyle w:val="8"/>
              <w:spacing w:before="0" w:line="360" w:lineRule="auto"/>
              <w:ind w:left="0"/>
              <w:jc w:val="center"/>
              <w:rPr>
                <w:color w:val="auto"/>
                <w:sz w:val="21"/>
                <w:szCs w:val="21"/>
                <w:highlight w:val="none"/>
                <w:lang w:val="en-US"/>
              </w:rPr>
            </w:pPr>
          </w:p>
        </w:tc>
        <w:tc>
          <w:tcPr>
            <w:tcW w:w="1900" w:type="dxa"/>
            <w:vAlign w:val="center"/>
          </w:tcPr>
          <w:p w14:paraId="79DA01B1">
            <w:pPr>
              <w:pStyle w:val="8"/>
              <w:spacing w:before="0" w:line="360" w:lineRule="auto"/>
              <w:ind w:left="0"/>
              <w:jc w:val="center"/>
              <w:rPr>
                <w:color w:val="auto"/>
                <w:sz w:val="21"/>
                <w:szCs w:val="21"/>
                <w:highlight w:val="none"/>
                <w:lang w:val="en-US"/>
              </w:rPr>
            </w:pPr>
          </w:p>
        </w:tc>
        <w:tc>
          <w:tcPr>
            <w:tcW w:w="647" w:type="dxa"/>
            <w:vAlign w:val="center"/>
          </w:tcPr>
          <w:p w14:paraId="4BDF344C">
            <w:pPr>
              <w:pStyle w:val="8"/>
              <w:spacing w:before="0" w:line="360" w:lineRule="auto"/>
              <w:ind w:left="0"/>
              <w:jc w:val="center"/>
              <w:rPr>
                <w:color w:val="auto"/>
                <w:sz w:val="21"/>
                <w:szCs w:val="21"/>
                <w:highlight w:val="none"/>
                <w:lang w:val="en-US"/>
              </w:rPr>
            </w:pPr>
          </w:p>
        </w:tc>
        <w:tc>
          <w:tcPr>
            <w:tcW w:w="1386" w:type="dxa"/>
            <w:vAlign w:val="center"/>
          </w:tcPr>
          <w:p w14:paraId="0945F3EC">
            <w:pPr>
              <w:pStyle w:val="8"/>
              <w:spacing w:before="0" w:line="360" w:lineRule="auto"/>
              <w:ind w:left="0"/>
              <w:jc w:val="center"/>
              <w:rPr>
                <w:color w:val="auto"/>
                <w:sz w:val="21"/>
                <w:szCs w:val="21"/>
                <w:highlight w:val="none"/>
                <w:lang w:val="en-US"/>
              </w:rPr>
            </w:pPr>
          </w:p>
        </w:tc>
        <w:tc>
          <w:tcPr>
            <w:tcW w:w="529" w:type="dxa"/>
            <w:vAlign w:val="center"/>
          </w:tcPr>
          <w:p w14:paraId="7163D4A8">
            <w:pPr>
              <w:pStyle w:val="8"/>
              <w:spacing w:before="0" w:line="360" w:lineRule="auto"/>
              <w:ind w:left="0"/>
              <w:jc w:val="center"/>
              <w:rPr>
                <w:color w:val="auto"/>
                <w:sz w:val="21"/>
                <w:szCs w:val="21"/>
                <w:highlight w:val="none"/>
                <w:lang w:val="en-US"/>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814" w:type="dxa"/>
            <w:vAlign w:val="center"/>
          </w:tcPr>
          <w:p w14:paraId="50929D44">
            <w:pPr>
              <w:pStyle w:val="8"/>
              <w:spacing w:before="0" w:line="360" w:lineRule="auto"/>
              <w:ind w:left="0"/>
              <w:jc w:val="center"/>
              <w:rPr>
                <w:color w:val="auto"/>
                <w:sz w:val="21"/>
                <w:szCs w:val="21"/>
                <w:highlight w:val="none"/>
                <w:lang w:val="en-US"/>
              </w:rPr>
            </w:pPr>
          </w:p>
        </w:tc>
        <w:tc>
          <w:tcPr>
            <w:tcW w:w="814" w:type="dxa"/>
            <w:vAlign w:val="center"/>
          </w:tcPr>
          <w:p w14:paraId="7554CAFA">
            <w:pPr>
              <w:pStyle w:val="8"/>
              <w:spacing w:before="0" w:line="360" w:lineRule="auto"/>
              <w:ind w:left="0"/>
              <w:jc w:val="center"/>
              <w:rPr>
                <w:color w:val="auto"/>
                <w:sz w:val="21"/>
                <w:szCs w:val="21"/>
                <w:highlight w:val="none"/>
                <w:lang w:val="en-US"/>
              </w:rPr>
            </w:pPr>
          </w:p>
        </w:tc>
        <w:tc>
          <w:tcPr>
            <w:tcW w:w="1900" w:type="dxa"/>
            <w:vAlign w:val="center"/>
          </w:tcPr>
          <w:p w14:paraId="5948B8D1">
            <w:pPr>
              <w:pStyle w:val="8"/>
              <w:spacing w:before="0" w:line="360" w:lineRule="auto"/>
              <w:ind w:left="0"/>
              <w:jc w:val="center"/>
              <w:rPr>
                <w:color w:val="auto"/>
                <w:sz w:val="21"/>
                <w:szCs w:val="21"/>
                <w:highlight w:val="none"/>
                <w:lang w:val="en-US"/>
              </w:rPr>
            </w:pPr>
          </w:p>
        </w:tc>
        <w:tc>
          <w:tcPr>
            <w:tcW w:w="1900" w:type="dxa"/>
            <w:vAlign w:val="center"/>
          </w:tcPr>
          <w:p w14:paraId="56EEC3A1">
            <w:pPr>
              <w:pStyle w:val="8"/>
              <w:spacing w:before="0" w:line="360" w:lineRule="auto"/>
              <w:ind w:left="0"/>
              <w:jc w:val="center"/>
              <w:rPr>
                <w:color w:val="auto"/>
                <w:sz w:val="21"/>
                <w:szCs w:val="21"/>
                <w:highlight w:val="none"/>
                <w:lang w:val="en-US"/>
              </w:rPr>
            </w:pPr>
          </w:p>
        </w:tc>
        <w:tc>
          <w:tcPr>
            <w:tcW w:w="647" w:type="dxa"/>
            <w:vAlign w:val="center"/>
          </w:tcPr>
          <w:p w14:paraId="09B57897">
            <w:pPr>
              <w:pStyle w:val="8"/>
              <w:spacing w:before="0" w:line="360" w:lineRule="auto"/>
              <w:ind w:left="0"/>
              <w:jc w:val="center"/>
              <w:rPr>
                <w:color w:val="auto"/>
                <w:sz w:val="21"/>
                <w:szCs w:val="21"/>
                <w:highlight w:val="none"/>
                <w:lang w:val="en-US"/>
              </w:rPr>
            </w:pPr>
          </w:p>
        </w:tc>
        <w:tc>
          <w:tcPr>
            <w:tcW w:w="1386" w:type="dxa"/>
            <w:vAlign w:val="center"/>
          </w:tcPr>
          <w:p w14:paraId="7F71CB90">
            <w:pPr>
              <w:pStyle w:val="8"/>
              <w:spacing w:before="0" w:line="360" w:lineRule="auto"/>
              <w:ind w:left="0"/>
              <w:jc w:val="center"/>
              <w:rPr>
                <w:color w:val="auto"/>
                <w:sz w:val="21"/>
                <w:szCs w:val="21"/>
                <w:highlight w:val="none"/>
                <w:lang w:val="en-US"/>
              </w:rPr>
            </w:pPr>
          </w:p>
        </w:tc>
        <w:tc>
          <w:tcPr>
            <w:tcW w:w="529" w:type="dxa"/>
            <w:vAlign w:val="center"/>
          </w:tcPr>
          <w:p w14:paraId="43342A52">
            <w:pPr>
              <w:pStyle w:val="8"/>
              <w:spacing w:before="0" w:line="360" w:lineRule="auto"/>
              <w:ind w:left="0"/>
              <w:jc w:val="center"/>
              <w:rPr>
                <w:color w:val="auto"/>
                <w:sz w:val="21"/>
                <w:szCs w:val="21"/>
                <w:highlight w:val="none"/>
                <w:lang w:val="en-US"/>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9" w:type="dxa"/>
            <w:vAlign w:val="center"/>
          </w:tcPr>
          <w:p w14:paraId="3B7740E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814" w:type="dxa"/>
            <w:vAlign w:val="center"/>
          </w:tcPr>
          <w:p w14:paraId="705EDC50">
            <w:pPr>
              <w:pStyle w:val="8"/>
              <w:spacing w:before="0" w:line="360" w:lineRule="auto"/>
              <w:ind w:left="0"/>
              <w:jc w:val="center"/>
              <w:rPr>
                <w:color w:val="auto"/>
                <w:sz w:val="21"/>
                <w:szCs w:val="21"/>
                <w:highlight w:val="none"/>
                <w:lang w:val="en-US"/>
              </w:rPr>
            </w:pPr>
          </w:p>
        </w:tc>
        <w:tc>
          <w:tcPr>
            <w:tcW w:w="814" w:type="dxa"/>
            <w:vAlign w:val="center"/>
          </w:tcPr>
          <w:p w14:paraId="0507444D">
            <w:pPr>
              <w:pStyle w:val="8"/>
              <w:spacing w:before="0" w:line="360" w:lineRule="auto"/>
              <w:ind w:left="0"/>
              <w:jc w:val="center"/>
              <w:rPr>
                <w:color w:val="auto"/>
                <w:sz w:val="21"/>
                <w:szCs w:val="21"/>
                <w:highlight w:val="none"/>
                <w:lang w:val="en-US"/>
              </w:rPr>
            </w:pPr>
          </w:p>
        </w:tc>
        <w:tc>
          <w:tcPr>
            <w:tcW w:w="1900" w:type="dxa"/>
            <w:vAlign w:val="center"/>
          </w:tcPr>
          <w:p w14:paraId="7C83D0D1">
            <w:pPr>
              <w:pStyle w:val="8"/>
              <w:spacing w:before="0" w:line="360" w:lineRule="auto"/>
              <w:ind w:left="0"/>
              <w:jc w:val="center"/>
              <w:rPr>
                <w:color w:val="auto"/>
                <w:sz w:val="21"/>
                <w:szCs w:val="21"/>
                <w:highlight w:val="none"/>
                <w:lang w:val="en-US"/>
              </w:rPr>
            </w:pPr>
          </w:p>
        </w:tc>
        <w:tc>
          <w:tcPr>
            <w:tcW w:w="1900" w:type="dxa"/>
            <w:vAlign w:val="center"/>
          </w:tcPr>
          <w:p w14:paraId="31637304">
            <w:pPr>
              <w:pStyle w:val="8"/>
              <w:spacing w:before="0" w:line="360" w:lineRule="auto"/>
              <w:ind w:left="0"/>
              <w:jc w:val="center"/>
              <w:rPr>
                <w:color w:val="auto"/>
                <w:sz w:val="21"/>
                <w:szCs w:val="21"/>
                <w:highlight w:val="none"/>
                <w:lang w:val="en-US"/>
              </w:rPr>
            </w:pPr>
          </w:p>
        </w:tc>
        <w:tc>
          <w:tcPr>
            <w:tcW w:w="647" w:type="dxa"/>
            <w:vAlign w:val="center"/>
          </w:tcPr>
          <w:p w14:paraId="09C912CC">
            <w:pPr>
              <w:pStyle w:val="8"/>
              <w:spacing w:before="0" w:line="360" w:lineRule="auto"/>
              <w:ind w:left="0"/>
              <w:jc w:val="center"/>
              <w:rPr>
                <w:color w:val="auto"/>
                <w:sz w:val="21"/>
                <w:szCs w:val="21"/>
                <w:highlight w:val="none"/>
                <w:lang w:val="en-US"/>
              </w:rPr>
            </w:pPr>
          </w:p>
        </w:tc>
        <w:tc>
          <w:tcPr>
            <w:tcW w:w="1386" w:type="dxa"/>
            <w:vAlign w:val="center"/>
          </w:tcPr>
          <w:p w14:paraId="2FC937EC">
            <w:pPr>
              <w:pStyle w:val="8"/>
              <w:spacing w:before="0" w:line="360" w:lineRule="auto"/>
              <w:ind w:left="0"/>
              <w:jc w:val="center"/>
              <w:rPr>
                <w:color w:val="auto"/>
                <w:sz w:val="21"/>
                <w:szCs w:val="21"/>
                <w:highlight w:val="none"/>
                <w:lang w:val="en-US"/>
              </w:rPr>
            </w:pPr>
          </w:p>
        </w:tc>
        <w:tc>
          <w:tcPr>
            <w:tcW w:w="529" w:type="dxa"/>
            <w:vAlign w:val="center"/>
          </w:tcPr>
          <w:p w14:paraId="11929D7B">
            <w:pPr>
              <w:pStyle w:val="8"/>
              <w:spacing w:before="0" w:line="360" w:lineRule="auto"/>
              <w:ind w:left="0"/>
              <w:jc w:val="center"/>
              <w:rPr>
                <w:color w:val="auto"/>
                <w:sz w:val="21"/>
                <w:szCs w:val="21"/>
                <w:highlight w:val="none"/>
                <w:lang w:val="en-US"/>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814" w:type="dxa"/>
            <w:vAlign w:val="center"/>
          </w:tcPr>
          <w:p w14:paraId="6F4B639B">
            <w:pPr>
              <w:pStyle w:val="8"/>
              <w:spacing w:before="0" w:line="360" w:lineRule="auto"/>
              <w:ind w:left="0"/>
              <w:jc w:val="center"/>
              <w:rPr>
                <w:color w:val="auto"/>
                <w:sz w:val="21"/>
                <w:szCs w:val="21"/>
                <w:highlight w:val="none"/>
                <w:lang w:val="en-US"/>
              </w:rPr>
            </w:pPr>
          </w:p>
        </w:tc>
        <w:tc>
          <w:tcPr>
            <w:tcW w:w="814" w:type="dxa"/>
            <w:vAlign w:val="center"/>
          </w:tcPr>
          <w:p w14:paraId="3C54C88B">
            <w:pPr>
              <w:pStyle w:val="8"/>
              <w:spacing w:before="0" w:line="360" w:lineRule="auto"/>
              <w:ind w:left="0"/>
              <w:jc w:val="center"/>
              <w:rPr>
                <w:color w:val="auto"/>
                <w:sz w:val="21"/>
                <w:szCs w:val="21"/>
                <w:highlight w:val="none"/>
                <w:lang w:val="en-US"/>
              </w:rPr>
            </w:pPr>
          </w:p>
        </w:tc>
        <w:tc>
          <w:tcPr>
            <w:tcW w:w="1900" w:type="dxa"/>
            <w:vAlign w:val="center"/>
          </w:tcPr>
          <w:p w14:paraId="141EF723">
            <w:pPr>
              <w:pStyle w:val="8"/>
              <w:spacing w:before="0" w:line="360" w:lineRule="auto"/>
              <w:ind w:left="0"/>
              <w:jc w:val="center"/>
              <w:rPr>
                <w:color w:val="auto"/>
                <w:sz w:val="21"/>
                <w:szCs w:val="21"/>
                <w:highlight w:val="none"/>
                <w:lang w:val="en-US"/>
              </w:rPr>
            </w:pPr>
          </w:p>
        </w:tc>
        <w:tc>
          <w:tcPr>
            <w:tcW w:w="1900" w:type="dxa"/>
            <w:vAlign w:val="center"/>
          </w:tcPr>
          <w:p w14:paraId="4C69DBCB">
            <w:pPr>
              <w:pStyle w:val="8"/>
              <w:spacing w:before="0" w:line="360" w:lineRule="auto"/>
              <w:ind w:left="0"/>
              <w:jc w:val="center"/>
              <w:rPr>
                <w:color w:val="auto"/>
                <w:sz w:val="21"/>
                <w:szCs w:val="21"/>
                <w:highlight w:val="none"/>
                <w:lang w:val="en-US"/>
              </w:rPr>
            </w:pPr>
          </w:p>
        </w:tc>
        <w:tc>
          <w:tcPr>
            <w:tcW w:w="647" w:type="dxa"/>
            <w:vAlign w:val="center"/>
          </w:tcPr>
          <w:p w14:paraId="47CD6093">
            <w:pPr>
              <w:pStyle w:val="8"/>
              <w:spacing w:before="0" w:line="360" w:lineRule="auto"/>
              <w:ind w:left="0"/>
              <w:jc w:val="center"/>
              <w:rPr>
                <w:color w:val="auto"/>
                <w:sz w:val="21"/>
                <w:szCs w:val="21"/>
                <w:highlight w:val="none"/>
                <w:lang w:val="en-US"/>
              </w:rPr>
            </w:pPr>
          </w:p>
        </w:tc>
        <w:tc>
          <w:tcPr>
            <w:tcW w:w="1386" w:type="dxa"/>
            <w:vAlign w:val="center"/>
          </w:tcPr>
          <w:p w14:paraId="2554E769">
            <w:pPr>
              <w:pStyle w:val="8"/>
              <w:spacing w:before="0" w:line="360" w:lineRule="auto"/>
              <w:ind w:left="0"/>
              <w:jc w:val="center"/>
              <w:rPr>
                <w:color w:val="auto"/>
                <w:sz w:val="21"/>
                <w:szCs w:val="21"/>
                <w:highlight w:val="none"/>
                <w:lang w:val="en-US"/>
              </w:rPr>
            </w:pPr>
          </w:p>
        </w:tc>
        <w:tc>
          <w:tcPr>
            <w:tcW w:w="529" w:type="dxa"/>
            <w:vAlign w:val="center"/>
          </w:tcPr>
          <w:p w14:paraId="014541C8">
            <w:pPr>
              <w:pStyle w:val="8"/>
              <w:spacing w:before="0" w:line="360" w:lineRule="auto"/>
              <w:ind w:left="0"/>
              <w:jc w:val="center"/>
              <w:rPr>
                <w:color w:val="auto"/>
                <w:sz w:val="21"/>
                <w:szCs w:val="21"/>
                <w:highlight w:val="none"/>
                <w:lang w:val="en-US"/>
              </w:rPr>
            </w:pPr>
          </w:p>
        </w:tc>
      </w:tr>
    </w:tbl>
    <w:p w14:paraId="38DCF079">
      <w:pPr>
        <w:pStyle w:val="8"/>
        <w:rPr>
          <w:color w:val="auto"/>
          <w:sz w:val="21"/>
          <w:szCs w:val="21"/>
          <w:highlight w:val="none"/>
          <w:lang w:val="en-US"/>
        </w:rPr>
      </w:pPr>
    </w:p>
    <w:p w14:paraId="00CBD2C4">
      <w:pPr>
        <w:rPr>
          <w:color w:val="auto"/>
          <w:szCs w:val="21"/>
          <w:highlight w:val="none"/>
        </w:rPr>
      </w:pPr>
    </w:p>
    <w:p w14:paraId="01FE7D71">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说明：</w:t>
      </w:r>
    </w:p>
    <w:p w14:paraId="620FF448">
      <w:pPr>
        <w:pStyle w:val="8"/>
        <w:autoSpaceDE w:val="0"/>
        <w:autoSpaceDN w:val="0"/>
        <w:spacing w:before="0" w:line="360" w:lineRule="auto"/>
        <w:ind w:left="0" w:firstLine="420" w:firstLineChars="200"/>
        <w:rPr>
          <w:color w:val="auto"/>
          <w:sz w:val="21"/>
          <w:szCs w:val="21"/>
          <w:highlight w:val="none"/>
          <w:lang w:val="en-US"/>
        </w:rPr>
      </w:pPr>
    </w:p>
    <w:p w14:paraId="3FF8714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1.“招标文件规定的商务要求”项下填写的内容应与招标文件中用户需求书的“商务要求”的内容保持一致。</w:t>
      </w:r>
    </w:p>
    <w:p w14:paraId="71CAAF98">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4.“是否偏离”项下应按下列规定填写：优于的，填写“正偏离”；符合的，填写“无偏离”；低于的，填写“负偏离”。</w:t>
      </w:r>
    </w:p>
    <w:p w14:paraId="7953E7A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1E20D5D7">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5B48ADAD">
      <w:pPr>
        <w:rPr>
          <w:b/>
          <w:bCs/>
          <w:color w:val="auto"/>
          <w:sz w:val="24"/>
          <w:highlight w:val="none"/>
        </w:rPr>
      </w:pPr>
      <w:r>
        <w:rPr>
          <w:rFonts w:hint="eastAsia"/>
          <w:b/>
          <w:bCs/>
          <w:color w:val="auto"/>
          <w:sz w:val="24"/>
          <w:highlight w:val="none"/>
        </w:rPr>
        <w:t>格式十三：</w:t>
      </w:r>
    </w:p>
    <w:p w14:paraId="75249257">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59F62C0E">
      <w:pPr>
        <w:pStyle w:val="8"/>
        <w:spacing w:before="8"/>
        <w:rPr>
          <w:color w:val="auto"/>
          <w:sz w:val="13"/>
          <w:highlight w:val="none"/>
        </w:rPr>
      </w:pPr>
    </w:p>
    <w:p w14:paraId="0F65AC52">
      <w:pPr>
        <w:pStyle w:val="4"/>
        <w:rPr>
          <w:color w:val="auto"/>
          <w:highlight w:val="none"/>
        </w:rPr>
      </w:pPr>
      <w:bookmarkStart w:id="156" w:name="_Toc20098"/>
      <w:r>
        <w:rPr>
          <w:color w:val="auto"/>
          <w:highlight w:val="none"/>
        </w:rPr>
        <w:t>履约进度计划表</w:t>
      </w:r>
      <w:bookmarkEnd w:id="156"/>
    </w:p>
    <w:p w14:paraId="5B40F7BC">
      <w:pPr>
        <w:pStyle w:val="8"/>
        <w:spacing w:before="2" w:after="1"/>
        <w:rPr>
          <w:b/>
          <w:color w:val="auto"/>
          <w:sz w:val="17"/>
          <w:highlight w:val="none"/>
        </w:rPr>
      </w:pPr>
    </w:p>
    <w:tbl>
      <w:tblPr>
        <w:tblStyle w:val="1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21B4BD48">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cPr>
          <w:p w14:paraId="0B7E3050">
            <w:pPr>
              <w:pStyle w:val="26"/>
              <w:spacing w:line="360" w:lineRule="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cPr>
          <w:p w14:paraId="791ADF81">
            <w:pPr>
              <w:pStyle w:val="26"/>
              <w:spacing w:line="360" w:lineRule="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cPr>
          <w:p w14:paraId="3D0C12FA">
            <w:pPr>
              <w:pStyle w:val="26"/>
              <w:spacing w:line="360" w:lineRule="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4A0166EC">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cPr>
          <w:p w14:paraId="5138CBC4">
            <w:pPr>
              <w:pStyle w:val="26"/>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43209312">
            <w:pPr>
              <w:pStyle w:val="26"/>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cPr>
          <w:p w14:paraId="7844CFA2">
            <w:pPr>
              <w:pStyle w:val="26"/>
              <w:spacing w:line="360" w:lineRule="auto"/>
              <w:rPr>
                <w:rFonts w:ascii="宋体" w:hAnsi="宋体" w:cs="宋体"/>
                <w:color w:val="auto"/>
                <w:szCs w:val="21"/>
                <w:highlight w:val="none"/>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081BBB34">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cPr>
          <w:p w14:paraId="201C92B2">
            <w:pPr>
              <w:pStyle w:val="26"/>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5A13AB99">
            <w:pPr>
              <w:pStyle w:val="26"/>
              <w:spacing w:line="360" w:lineRule="auto"/>
              <w:rPr>
                <w:rFonts w:ascii="宋体" w:hAnsi="宋体" w:cs="宋体"/>
                <w:color w:val="auto"/>
                <w:szCs w:val="21"/>
                <w:highlight w:val="none"/>
              </w:rPr>
            </w:pPr>
          </w:p>
        </w:tc>
        <w:tc>
          <w:tcPr>
            <w:tcW w:w="1354" w:type="pct"/>
            <w:shd w:val="clear" w:color="auto" w:fill="FFFFFF"/>
          </w:tcPr>
          <w:p w14:paraId="76DB83D6">
            <w:pPr>
              <w:pStyle w:val="26"/>
              <w:spacing w:line="360" w:lineRule="auto"/>
              <w:rPr>
                <w:rFonts w:ascii="宋体" w:hAnsi="宋体" w:cs="宋体"/>
                <w:color w:val="auto"/>
                <w:szCs w:val="21"/>
                <w:highlight w:val="none"/>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4B5D12FA">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cPr>
          <w:p w14:paraId="7CD52179">
            <w:pPr>
              <w:pStyle w:val="26"/>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4AAF4A77">
            <w:pPr>
              <w:pStyle w:val="26"/>
              <w:spacing w:line="360" w:lineRule="auto"/>
              <w:rPr>
                <w:rFonts w:ascii="宋体" w:hAnsi="宋体" w:cs="宋体"/>
                <w:color w:val="auto"/>
                <w:szCs w:val="21"/>
                <w:highlight w:val="none"/>
              </w:rPr>
            </w:pPr>
          </w:p>
        </w:tc>
        <w:tc>
          <w:tcPr>
            <w:tcW w:w="1354" w:type="pct"/>
            <w:shd w:val="clear" w:color="auto" w:fill="FFFFFF"/>
          </w:tcPr>
          <w:p w14:paraId="370D0D07">
            <w:pPr>
              <w:pStyle w:val="26"/>
              <w:spacing w:line="360" w:lineRule="auto"/>
              <w:rPr>
                <w:rFonts w:ascii="宋体" w:hAnsi="宋体" w:cs="宋体"/>
                <w:color w:val="auto"/>
                <w:szCs w:val="21"/>
                <w:highlight w:val="none"/>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18B17E00">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cPr>
          <w:p w14:paraId="63A8CFC5">
            <w:pPr>
              <w:pStyle w:val="26"/>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4C0D4F1B">
            <w:pPr>
              <w:pStyle w:val="26"/>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cPr>
          <w:p w14:paraId="1A85BF25">
            <w:pPr>
              <w:pStyle w:val="26"/>
              <w:spacing w:line="360" w:lineRule="auto"/>
              <w:rPr>
                <w:rFonts w:ascii="宋体" w:hAnsi="宋体" w:cs="宋体"/>
                <w:color w:val="auto"/>
                <w:szCs w:val="21"/>
                <w:highlight w:val="none"/>
              </w:rPr>
            </w:pPr>
          </w:p>
        </w:tc>
      </w:tr>
    </w:tbl>
    <w:p w14:paraId="37ADC3C4">
      <w:pPr>
        <w:rPr>
          <w:color w:val="auto"/>
          <w:highlight w:val="none"/>
        </w:rPr>
      </w:pPr>
      <w:r>
        <w:rPr>
          <w:rFonts w:hint="eastAsia"/>
          <w:color w:val="auto"/>
          <w:highlight w:val="none"/>
        </w:rPr>
        <w:br w:type="page"/>
      </w:r>
    </w:p>
    <w:p w14:paraId="2ACE1A75">
      <w:pPr>
        <w:outlineLvl w:val="1"/>
        <w:rPr>
          <w:b/>
          <w:bCs/>
          <w:color w:val="auto"/>
          <w:sz w:val="24"/>
          <w:szCs w:val="32"/>
          <w:highlight w:val="none"/>
        </w:rPr>
      </w:pPr>
      <w:bookmarkStart w:id="157" w:name="_Toc2912"/>
      <w:r>
        <w:rPr>
          <w:rFonts w:hint="eastAsia"/>
          <w:b/>
          <w:bCs/>
          <w:color w:val="auto"/>
          <w:sz w:val="24"/>
          <w:szCs w:val="32"/>
          <w:highlight w:val="none"/>
        </w:rPr>
        <w:t>格式十四：</w:t>
      </w:r>
      <w:bookmarkEnd w:id="157"/>
    </w:p>
    <w:p w14:paraId="0281CF3B">
      <w:pPr>
        <w:pStyle w:val="8"/>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496FC7EF">
      <w:pPr>
        <w:rPr>
          <w:color w:val="auto"/>
          <w:sz w:val="20"/>
          <w:szCs w:val="20"/>
          <w:highlight w:val="none"/>
        </w:rPr>
      </w:pPr>
    </w:p>
    <w:p w14:paraId="0BCD0CEE">
      <w:pPr>
        <w:pStyle w:val="8"/>
        <w:jc w:val="center"/>
        <w:rPr>
          <w:b/>
          <w:bCs/>
          <w:color w:val="auto"/>
          <w:highlight w:val="none"/>
        </w:rPr>
      </w:pPr>
      <w:r>
        <w:rPr>
          <w:b/>
          <w:bCs/>
          <w:color w:val="auto"/>
          <w:highlight w:val="none"/>
        </w:rPr>
        <w:t>各类证明材料</w:t>
      </w:r>
    </w:p>
    <w:p w14:paraId="43290606">
      <w:pPr>
        <w:pStyle w:val="24"/>
        <w:tabs>
          <w:tab w:val="left" w:pos="673"/>
        </w:tabs>
        <w:spacing w:line="360" w:lineRule="auto"/>
        <w:ind w:firstLine="0" w:firstLineChars="0"/>
        <w:outlineLvl w:val="1"/>
        <w:rPr>
          <w:rFonts w:ascii="宋体" w:hAnsi="宋体" w:cs="宋体"/>
          <w:color w:val="auto"/>
          <w:szCs w:val="21"/>
          <w:highlight w:val="none"/>
        </w:rPr>
      </w:pPr>
      <w:bookmarkStart w:id="158" w:name="_Toc14919"/>
      <w:r>
        <w:rPr>
          <w:rFonts w:hint="eastAsia" w:ascii="宋体" w:hAnsi="宋体" w:cs="宋体"/>
          <w:color w:val="auto"/>
          <w:szCs w:val="21"/>
          <w:highlight w:val="none"/>
        </w:rPr>
        <w:t>1、招标文件要求提供的其他资料。</w:t>
      </w:r>
      <w:bookmarkEnd w:id="158"/>
    </w:p>
    <w:p w14:paraId="2BEB0B2C">
      <w:pPr>
        <w:pStyle w:val="24"/>
        <w:tabs>
          <w:tab w:val="left" w:pos="673"/>
        </w:tabs>
        <w:spacing w:line="360" w:lineRule="auto"/>
        <w:ind w:firstLine="0" w:firstLineChars="0"/>
        <w:outlineLvl w:val="1"/>
        <w:rPr>
          <w:rFonts w:ascii="宋体" w:hAnsi="宋体" w:cs="宋体"/>
          <w:color w:val="auto"/>
          <w:szCs w:val="21"/>
          <w:highlight w:val="none"/>
        </w:rPr>
      </w:pPr>
      <w:bookmarkStart w:id="159" w:name="_Toc7938"/>
      <w:r>
        <w:rPr>
          <w:rFonts w:hint="eastAsia" w:ascii="宋体" w:hAnsi="宋体" w:cs="宋体"/>
          <w:color w:val="auto"/>
          <w:szCs w:val="21"/>
          <w:highlight w:val="none"/>
        </w:rPr>
        <w:t>2、投标人认为需提供的其他资料。</w:t>
      </w:r>
      <w:bookmarkEnd w:id="159"/>
    </w:p>
    <w:p w14:paraId="24526636">
      <w:pPr>
        <w:rPr>
          <w:rFonts w:ascii="宋体" w:hAnsi="宋体" w:cs="宋体"/>
          <w:color w:val="auto"/>
          <w:szCs w:val="21"/>
          <w:highlight w:val="none"/>
        </w:rPr>
      </w:pPr>
      <w:r>
        <w:rPr>
          <w:rFonts w:hint="eastAsia" w:ascii="宋体" w:hAnsi="宋体" w:cs="宋体"/>
          <w:color w:val="auto"/>
          <w:szCs w:val="21"/>
          <w:highlight w:val="none"/>
        </w:rPr>
        <w:br w:type="page"/>
      </w:r>
    </w:p>
    <w:p w14:paraId="33C3000C">
      <w:pPr>
        <w:pStyle w:val="24"/>
        <w:tabs>
          <w:tab w:val="left" w:pos="673"/>
        </w:tabs>
        <w:spacing w:line="360" w:lineRule="auto"/>
        <w:ind w:firstLine="0" w:firstLineChars="0"/>
        <w:outlineLvl w:val="1"/>
        <w:rPr>
          <w:rFonts w:ascii="宋体" w:hAnsi="宋体" w:cs="宋体"/>
          <w:b/>
          <w:bCs/>
          <w:color w:val="auto"/>
          <w:sz w:val="24"/>
          <w:highlight w:val="none"/>
        </w:rPr>
      </w:pPr>
      <w:bookmarkStart w:id="160" w:name="_Toc30382"/>
      <w:r>
        <w:rPr>
          <w:rFonts w:hint="eastAsia" w:ascii="宋体" w:hAnsi="宋体" w:cs="宋体"/>
          <w:b/>
          <w:bCs/>
          <w:color w:val="auto"/>
          <w:sz w:val="24"/>
          <w:highlight w:val="none"/>
        </w:rPr>
        <w:t>格式十五：</w:t>
      </w:r>
      <w:bookmarkEnd w:id="160"/>
    </w:p>
    <w:p w14:paraId="278F13EF">
      <w:pPr>
        <w:pStyle w:val="24"/>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6916DC11">
      <w:pPr>
        <w:rPr>
          <w:color w:val="auto"/>
          <w:highlight w:val="none"/>
        </w:rPr>
      </w:pPr>
    </w:p>
    <w:p w14:paraId="12AC1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4397F61D">
      <w:pPr>
        <w:pStyle w:val="8"/>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项目招标中获中标（项目编号：</w:t>
      </w:r>
      <w:r>
        <w:rPr>
          <w:rFonts w:hint="eastAsia"/>
          <w:color w:val="auto"/>
          <w:sz w:val="21"/>
          <w:szCs w:val="21"/>
          <w:highlight w:val="none"/>
          <w:u w:val="single"/>
          <w:lang w:val="en-US"/>
        </w:rPr>
        <w:t xml:space="preserve">     </w:t>
      </w:r>
      <w:r>
        <w:rPr>
          <w:rFonts w:hint="eastAsia"/>
          <w:color w:val="auto"/>
          <w:w w:val="104"/>
          <w:sz w:val="21"/>
          <w:szCs w:val="21"/>
          <w:highlight w:val="none"/>
        </w:rPr>
        <w:t>），</w:t>
      </w:r>
      <w:r>
        <w:rPr>
          <w:rFonts w:hint="eastAsia"/>
          <w:color w:val="auto"/>
          <w:sz w:val="21"/>
          <w:szCs w:val="21"/>
          <w:highlight w:val="none"/>
        </w:rPr>
        <w:t>我方保证在收取《中标通知书》时，按招标文件对代理服务费支付方式的约定，承担本项目代理服务费。</w:t>
      </w:r>
    </w:p>
    <w:p w14:paraId="54C64724">
      <w:pPr>
        <w:pStyle w:val="24"/>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24"/>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18BA4752">
      <w:pPr>
        <w:spacing w:line="360" w:lineRule="auto"/>
        <w:ind w:firstLine="420" w:firstLineChars="200"/>
        <w:rPr>
          <w:color w:val="auto"/>
          <w:highlight w:val="none"/>
        </w:rPr>
      </w:pPr>
    </w:p>
    <w:p w14:paraId="75639B16">
      <w:pPr>
        <w:spacing w:line="480" w:lineRule="auto"/>
        <w:ind w:firstLine="420" w:firstLineChars="200"/>
        <w:rPr>
          <w:color w:val="auto"/>
          <w:highlight w:val="none"/>
        </w:rPr>
      </w:pPr>
      <w:r>
        <w:rPr>
          <w:rFonts w:hint="eastAsia"/>
          <w:color w:val="auto"/>
          <w:highlight w:val="none"/>
        </w:rPr>
        <w:t>投标人法定名称（公章）：</w:t>
      </w:r>
    </w:p>
    <w:p w14:paraId="39D9AA67">
      <w:pPr>
        <w:spacing w:line="480" w:lineRule="auto"/>
        <w:ind w:firstLine="420" w:firstLineChars="200"/>
        <w:rPr>
          <w:color w:val="auto"/>
          <w:highlight w:val="none"/>
        </w:rPr>
      </w:pPr>
      <w:r>
        <w:rPr>
          <w:rFonts w:hint="eastAsia"/>
          <w:color w:val="auto"/>
          <w:highlight w:val="none"/>
        </w:rPr>
        <w:t>投标人法定地址：</w:t>
      </w:r>
    </w:p>
    <w:p w14:paraId="59783C79">
      <w:pPr>
        <w:spacing w:line="480" w:lineRule="auto"/>
        <w:ind w:firstLine="420" w:firstLineChars="200"/>
        <w:rPr>
          <w:color w:val="auto"/>
          <w:highlight w:val="none"/>
        </w:rPr>
      </w:pPr>
      <w:r>
        <w:rPr>
          <w:rFonts w:hint="eastAsia"/>
          <w:color w:val="auto"/>
          <w:highlight w:val="none"/>
        </w:rPr>
        <w:t>投标人授权代表（签字或盖章）：</w:t>
      </w:r>
    </w:p>
    <w:p w14:paraId="338BEE01">
      <w:pPr>
        <w:spacing w:line="480" w:lineRule="auto"/>
        <w:ind w:firstLine="420" w:firstLineChars="200"/>
        <w:rPr>
          <w:color w:val="auto"/>
          <w:highlight w:val="none"/>
        </w:rPr>
      </w:pPr>
      <w:r>
        <w:rPr>
          <w:rFonts w:hint="eastAsia"/>
          <w:color w:val="auto"/>
          <w:highlight w:val="none"/>
        </w:rPr>
        <w:t>电 话：</w:t>
      </w:r>
    </w:p>
    <w:p w14:paraId="6E9E6D28">
      <w:pPr>
        <w:spacing w:line="480" w:lineRule="auto"/>
        <w:ind w:firstLine="420" w:firstLineChars="200"/>
        <w:rPr>
          <w:color w:val="auto"/>
          <w:highlight w:val="none"/>
        </w:rPr>
      </w:pPr>
      <w:r>
        <w:rPr>
          <w:rFonts w:hint="eastAsia"/>
          <w:color w:val="auto"/>
          <w:highlight w:val="none"/>
        </w:rPr>
        <w:t>传 真：</w:t>
      </w:r>
    </w:p>
    <w:p w14:paraId="4A2C1BDF">
      <w:pPr>
        <w:pStyle w:val="24"/>
        <w:tabs>
          <w:tab w:val="left" w:pos="673"/>
        </w:tabs>
        <w:spacing w:line="480" w:lineRule="auto"/>
        <w:rPr>
          <w:color w:val="auto"/>
          <w:highlight w:val="none"/>
        </w:rPr>
      </w:pPr>
      <w:r>
        <w:rPr>
          <w:rFonts w:hint="eastAsia"/>
          <w:color w:val="auto"/>
          <w:highlight w:val="none"/>
        </w:rPr>
        <w:t>承诺日期：</w:t>
      </w:r>
    </w:p>
    <w:p w14:paraId="718A2664">
      <w:pPr>
        <w:rPr>
          <w:color w:val="auto"/>
          <w:highlight w:val="none"/>
        </w:rPr>
      </w:pPr>
      <w:r>
        <w:rPr>
          <w:rFonts w:hint="eastAsia"/>
          <w:color w:val="auto"/>
          <w:highlight w:val="none"/>
        </w:rPr>
        <w:br w:type="page"/>
      </w:r>
    </w:p>
    <w:p w14:paraId="0E827BC7">
      <w:pPr>
        <w:pStyle w:val="24"/>
        <w:tabs>
          <w:tab w:val="left" w:pos="673"/>
        </w:tabs>
        <w:spacing w:line="360" w:lineRule="auto"/>
        <w:ind w:firstLine="0" w:firstLineChars="0"/>
        <w:outlineLvl w:val="1"/>
        <w:rPr>
          <w:rFonts w:ascii="宋体" w:hAnsi="宋体" w:cs="宋体"/>
          <w:b/>
          <w:bCs/>
          <w:color w:val="auto"/>
          <w:sz w:val="24"/>
          <w:highlight w:val="none"/>
        </w:rPr>
      </w:pPr>
      <w:bookmarkStart w:id="161" w:name="_Toc3970"/>
      <w:r>
        <w:rPr>
          <w:rFonts w:hint="eastAsia" w:ascii="宋体" w:hAnsi="宋体" w:cs="宋体"/>
          <w:b/>
          <w:bCs/>
          <w:color w:val="auto"/>
          <w:sz w:val="24"/>
          <w:highlight w:val="none"/>
        </w:rPr>
        <w:t>格式十五：</w:t>
      </w:r>
      <w:bookmarkEnd w:id="161"/>
    </w:p>
    <w:p w14:paraId="3B6B301A">
      <w:pPr>
        <w:pStyle w:val="8"/>
        <w:spacing w:before="0" w:line="360" w:lineRule="auto"/>
        <w:ind w:left="0"/>
        <w:rPr>
          <w:color w:val="auto"/>
          <w:sz w:val="21"/>
          <w:szCs w:val="21"/>
          <w:highlight w:val="none"/>
        </w:rPr>
      </w:pPr>
      <w:r>
        <w:rPr>
          <w:rFonts w:hint="eastAsia"/>
          <w:color w:val="auto"/>
          <w:sz w:val="21"/>
          <w:szCs w:val="21"/>
          <w:highlight w:val="none"/>
        </w:rPr>
        <w:t>（以下格式文件由投标人根据需要选用）</w:t>
      </w:r>
    </w:p>
    <w:p w14:paraId="5C4FC6C8">
      <w:pPr>
        <w:pStyle w:val="8"/>
        <w:spacing w:before="8"/>
        <w:rPr>
          <w:color w:val="auto"/>
          <w:sz w:val="21"/>
          <w:szCs w:val="21"/>
          <w:highlight w:val="none"/>
        </w:rPr>
      </w:pPr>
    </w:p>
    <w:p w14:paraId="4CF50DE5">
      <w:pPr>
        <w:jc w:val="center"/>
        <w:outlineLvl w:val="1"/>
        <w:rPr>
          <w:rFonts w:ascii="宋体" w:hAnsi="宋体" w:cs="宋体"/>
          <w:b/>
          <w:bCs/>
          <w:color w:val="auto"/>
          <w:szCs w:val="21"/>
          <w:highlight w:val="none"/>
        </w:rPr>
      </w:pPr>
      <w:bookmarkStart w:id="162" w:name="_Toc4401"/>
      <w:r>
        <w:rPr>
          <w:rFonts w:hint="eastAsia" w:ascii="宋体" w:hAnsi="宋体" w:cs="宋体"/>
          <w:b/>
          <w:bCs/>
          <w:color w:val="auto"/>
          <w:szCs w:val="21"/>
          <w:highlight w:val="none"/>
        </w:rPr>
        <w:t>需要</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提供的附加条件</w:t>
      </w:r>
      <w:bookmarkEnd w:id="162"/>
    </w:p>
    <w:p w14:paraId="598BAF8E">
      <w:pPr>
        <w:pStyle w:val="8"/>
        <w:autoSpaceDE w:val="0"/>
        <w:autoSpaceDN w:val="0"/>
        <w:spacing w:before="0" w:line="360" w:lineRule="auto"/>
        <w:ind w:left="0"/>
        <w:rPr>
          <w:b/>
          <w:color w:val="auto"/>
          <w:sz w:val="21"/>
          <w:szCs w:val="21"/>
          <w:highlight w:val="none"/>
        </w:rPr>
      </w:pPr>
    </w:p>
    <w:tbl>
      <w:tblPr>
        <w:tblStyle w:val="1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26"/>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4BEAC092">
            <w:pPr>
              <w:pStyle w:val="26"/>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344CE0C6">
            <w:pPr>
              <w:pStyle w:val="26"/>
              <w:spacing w:line="360" w:lineRule="auto"/>
              <w:rPr>
                <w:rFonts w:ascii="宋体" w:hAnsi="宋体" w:cs="宋体"/>
                <w:color w:val="auto"/>
                <w:szCs w:val="21"/>
                <w:highlight w:val="none"/>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016ECEE8">
            <w:pPr>
              <w:pStyle w:val="26"/>
              <w:spacing w:line="360" w:lineRule="auto"/>
              <w:rPr>
                <w:rFonts w:ascii="宋体" w:hAnsi="宋体" w:cs="宋体"/>
                <w:color w:val="auto"/>
                <w:szCs w:val="21"/>
                <w:highlight w:val="none"/>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7D96B8D9">
            <w:pPr>
              <w:pStyle w:val="26"/>
              <w:spacing w:line="360" w:lineRule="auto"/>
              <w:rPr>
                <w:rFonts w:ascii="宋体" w:hAnsi="宋体" w:cs="宋体"/>
                <w:color w:val="auto"/>
                <w:szCs w:val="21"/>
                <w:highlight w:val="none"/>
              </w:rPr>
            </w:pPr>
          </w:p>
        </w:tc>
      </w:tr>
    </w:tbl>
    <w:p w14:paraId="5AE52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注：投标人完成本项目需要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配合或提供的条件必须在上表列出，否则将视为投标人同意按现有条件完成本项目。如上表所列附加条件含有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不能接受的，将被视为投标无效。</w:t>
      </w:r>
    </w:p>
    <w:p w14:paraId="583DE362">
      <w:pPr>
        <w:rPr>
          <w:color w:val="auto"/>
          <w:sz w:val="20"/>
          <w:szCs w:val="20"/>
          <w:highlight w:val="none"/>
        </w:rPr>
      </w:pPr>
      <w:r>
        <w:rPr>
          <w:color w:val="auto"/>
          <w:sz w:val="20"/>
          <w:szCs w:val="20"/>
          <w:highlight w:val="none"/>
        </w:rPr>
        <w:br w:type="page"/>
      </w:r>
    </w:p>
    <w:p w14:paraId="26EF4D95">
      <w:pPr>
        <w:pStyle w:val="8"/>
        <w:outlineLvl w:val="1"/>
        <w:rPr>
          <w:b/>
          <w:bCs/>
          <w:color w:val="auto"/>
          <w:highlight w:val="none"/>
          <w:lang w:val="en-US"/>
        </w:rPr>
      </w:pPr>
      <w:bookmarkStart w:id="163" w:name="_Toc25747"/>
      <w:r>
        <w:rPr>
          <w:rFonts w:hint="eastAsia"/>
          <w:b/>
          <w:bCs/>
          <w:color w:val="auto"/>
          <w:highlight w:val="none"/>
          <w:lang w:val="en-US"/>
        </w:rPr>
        <w:t>格式十六：</w:t>
      </w:r>
      <w:bookmarkEnd w:id="163"/>
    </w:p>
    <w:p w14:paraId="0354B9B2">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投标人</w:t>
      </w:r>
      <w:r>
        <w:rPr>
          <w:color w:val="auto"/>
          <w:sz w:val="21"/>
          <w:szCs w:val="21"/>
          <w:highlight w:val="none"/>
        </w:rPr>
        <w:t>根据需要选用）</w:t>
      </w:r>
    </w:p>
    <w:p w14:paraId="5E206BDC">
      <w:pPr>
        <w:pStyle w:val="8"/>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5F7A92BE">
      <w:pPr>
        <w:rPr>
          <w:color w:val="auto"/>
          <w:szCs w:val="21"/>
          <w:highlight w:val="none"/>
        </w:rPr>
      </w:pPr>
      <w:r>
        <w:rPr>
          <w:color w:val="auto"/>
          <w:szCs w:val="21"/>
          <w:highlight w:val="none"/>
        </w:rPr>
        <w:br w:type="page"/>
      </w:r>
    </w:p>
    <w:p w14:paraId="4CFA8C64">
      <w:pPr>
        <w:pStyle w:val="3"/>
        <w:rPr>
          <w:color w:val="auto"/>
          <w:highlight w:val="none"/>
        </w:rPr>
      </w:pPr>
      <w:bookmarkStart w:id="164" w:name="_Toc27211"/>
      <w:r>
        <w:rPr>
          <w:rFonts w:hint="eastAsia"/>
          <w:color w:val="auto"/>
          <w:highlight w:val="none"/>
        </w:rPr>
        <w:t>第七篇 开标文件格式</w:t>
      </w:r>
      <w:bookmarkEnd w:id="164"/>
    </w:p>
    <w:p w14:paraId="1DE31E8A">
      <w:pPr>
        <w:jc w:val="center"/>
        <w:outlineLvl w:val="1"/>
        <w:rPr>
          <w:b/>
          <w:bCs/>
          <w:color w:val="auto"/>
          <w:highlight w:val="none"/>
        </w:rPr>
      </w:pPr>
      <w:bookmarkStart w:id="165" w:name="_Toc32249"/>
      <w:r>
        <w:rPr>
          <w:rFonts w:hint="eastAsia"/>
          <w:b/>
          <w:bCs/>
          <w:color w:val="auto"/>
          <w:highlight w:val="none"/>
        </w:rPr>
        <w:t>（封面格式仅供参考）</w:t>
      </w:r>
      <w:bookmarkEnd w:id="165"/>
    </w:p>
    <w:p w14:paraId="155DF120">
      <w:pPr>
        <w:jc w:val="center"/>
        <w:rPr>
          <w:rFonts w:ascii="宋体" w:hAnsi="宋体" w:cs="宋体"/>
          <w:b/>
          <w:color w:val="auto"/>
          <w:spacing w:val="10"/>
          <w:kern w:val="0"/>
          <w:sz w:val="38"/>
          <w:szCs w:val="38"/>
          <w:highlight w:val="none"/>
          <w:lang w:val="zh-CN" w:bidi="zh-CN"/>
        </w:rPr>
      </w:pPr>
    </w:p>
    <w:p w14:paraId="50896CAC">
      <w:pPr>
        <w:jc w:val="center"/>
        <w:rPr>
          <w:rFonts w:ascii="宋体" w:hAnsi="宋体" w:cs="宋体"/>
          <w:b/>
          <w:color w:val="auto"/>
          <w:spacing w:val="10"/>
          <w:kern w:val="0"/>
          <w:sz w:val="38"/>
          <w:szCs w:val="38"/>
          <w:highlight w:val="none"/>
          <w:lang w:val="zh-CN" w:bidi="zh-CN"/>
        </w:rPr>
      </w:pPr>
    </w:p>
    <w:p w14:paraId="5E2C76E8">
      <w:pPr>
        <w:jc w:val="center"/>
        <w:rPr>
          <w:rFonts w:ascii="宋体" w:hAnsi="宋体" w:cs="宋体"/>
          <w:b/>
          <w:color w:val="auto"/>
          <w:spacing w:val="10"/>
          <w:kern w:val="0"/>
          <w:sz w:val="38"/>
          <w:szCs w:val="38"/>
          <w:highlight w:val="none"/>
          <w:lang w:val="zh-CN" w:bidi="zh-CN"/>
        </w:rPr>
      </w:pPr>
    </w:p>
    <w:p w14:paraId="421018FF">
      <w:pPr>
        <w:jc w:val="center"/>
        <w:outlineLvl w:val="2"/>
        <w:rPr>
          <w:rFonts w:ascii="宋体" w:hAnsi="宋体" w:cs="宋体"/>
          <w:b/>
          <w:color w:val="auto"/>
          <w:kern w:val="0"/>
          <w:sz w:val="38"/>
          <w:szCs w:val="38"/>
          <w:highlight w:val="none"/>
          <w:lang w:val="zh-CN" w:bidi="zh-CN"/>
        </w:rPr>
      </w:pPr>
      <w:bookmarkStart w:id="166" w:name="_Toc10015"/>
      <w:r>
        <w:rPr>
          <w:rFonts w:hint="eastAsia" w:ascii="宋体" w:hAnsi="宋体" w:cs="宋体"/>
          <w:b/>
          <w:color w:val="auto"/>
          <w:spacing w:val="10"/>
          <w:kern w:val="0"/>
          <w:sz w:val="38"/>
          <w:szCs w:val="38"/>
          <w:highlight w:val="none"/>
          <w:lang w:val="zh-CN" w:bidi="zh-CN"/>
        </w:rPr>
        <w:t>开标</w:t>
      </w:r>
      <w:r>
        <w:rPr>
          <w:rFonts w:ascii="宋体" w:hAnsi="宋体" w:cs="宋体"/>
          <w:b/>
          <w:color w:val="auto"/>
          <w:spacing w:val="10"/>
          <w:kern w:val="0"/>
          <w:sz w:val="38"/>
          <w:szCs w:val="38"/>
          <w:highlight w:val="none"/>
          <w:lang w:val="zh-CN" w:bidi="zh-CN"/>
        </w:rPr>
        <w:t>文件封面</w:t>
      </w:r>
      <w:bookmarkEnd w:id="166"/>
    </w:p>
    <w:p w14:paraId="05B3A22F">
      <w:pPr>
        <w:autoSpaceDE w:val="0"/>
        <w:autoSpaceDN w:val="0"/>
        <w:spacing w:before="11"/>
        <w:jc w:val="center"/>
        <w:rPr>
          <w:rFonts w:ascii="宋体" w:hAnsi="宋体" w:cs="宋体"/>
          <w:b/>
          <w:color w:val="auto"/>
          <w:sz w:val="46"/>
          <w:szCs w:val="19"/>
          <w:highlight w:val="none"/>
          <w:lang w:val="zh-CN" w:bidi="zh-CN"/>
        </w:rPr>
      </w:pPr>
    </w:p>
    <w:p w14:paraId="15E3199D">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167" w:name="_Toc18186"/>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开标</w:t>
      </w:r>
      <w:r>
        <w:rPr>
          <w:rFonts w:ascii="宋体" w:hAnsi="宋体" w:cs="宋体"/>
          <w:b/>
          <w:color w:val="auto"/>
          <w:spacing w:val="7"/>
          <w:kern w:val="0"/>
          <w:sz w:val="38"/>
          <w:szCs w:val="22"/>
          <w:highlight w:val="none"/>
          <w:lang w:val="zh-CN" w:bidi="zh-CN"/>
        </w:rPr>
        <w:t>文件封面</w:t>
      </w:r>
      <w:bookmarkEnd w:id="167"/>
    </w:p>
    <w:p w14:paraId="493BC247">
      <w:pPr>
        <w:autoSpaceDE w:val="0"/>
        <w:autoSpaceDN w:val="0"/>
        <w:spacing w:line="479" w:lineRule="exact"/>
        <w:jc w:val="center"/>
        <w:rPr>
          <w:rFonts w:ascii="宋体" w:hAnsi="宋体" w:cs="宋体"/>
          <w:b/>
          <w:bCs/>
          <w:color w:val="auto"/>
          <w:sz w:val="24"/>
          <w:highlight w:val="none"/>
          <w:lang w:val="zh-CN" w:bidi="zh-CN"/>
        </w:rPr>
      </w:pPr>
    </w:p>
    <w:p w14:paraId="426CE66D">
      <w:pPr>
        <w:autoSpaceDE w:val="0"/>
        <w:autoSpaceDN w:val="0"/>
        <w:jc w:val="center"/>
        <w:rPr>
          <w:rFonts w:ascii="宋体" w:hAnsi="宋体" w:cs="宋体"/>
          <w:b/>
          <w:color w:val="auto"/>
          <w:sz w:val="28"/>
          <w:szCs w:val="19"/>
          <w:highlight w:val="none"/>
          <w:lang w:val="zh-CN" w:bidi="zh-CN"/>
        </w:rPr>
      </w:pPr>
    </w:p>
    <w:p w14:paraId="02178A14">
      <w:pPr>
        <w:autoSpaceDE w:val="0"/>
        <w:autoSpaceDN w:val="0"/>
        <w:jc w:val="center"/>
        <w:rPr>
          <w:rFonts w:ascii="宋体" w:hAnsi="宋体" w:cs="宋体"/>
          <w:b/>
          <w:color w:val="auto"/>
          <w:sz w:val="28"/>
          <w:szCs w:val="19"/>
          <w:highlight w:val="none"/>
          <w:lang w:val="zh-CN" w:bidi="zh-CN"/>
        </w:rPr>
      </w:pPr>
    </w:p>
    <w:p w14:paraId="234D3B9E">
      <w:pPr>
        <w:autoSpaceDE w:val="0"/>
        <w:autoSpaceDN w:val="0"/>
        <w:jc w:val="center"/>
        <w:rPr>
          <w:rFonts w:ascii="宋体" w:hAnsi="宋体" w:cs="宋体"/>
          <w:b/>
          <w:color w:val="auto"/>
          <w:sz w:val="28"/>
          <w:szCs w:val="19"/>
          <w:highlight w:val="none"/>
          <w:lang w:val="zh-CN" w:bidi="zh-CN"/>
        </w:rPr>
      </w:pPr>
    </w:p>
    <w:p w14:paraId="3DC94AF3">
      <w:pPr>
        <w:autoSpaceDE w:val="0"/>
        <w:autoSpaceDN w:val="0"/>
        <w:jc w:val="center"/>
        <w:rPr>
          <w:rFonts w:ascii="宋体" w:hAnsi="宋体" w:cs="宋体"/>
          <w:b/>
          <w:color w:val="auto"/>
          <w:sz w:val="28"/>
          <w:szCs w:val="19"/>
          <w:highlight w:val="none"/>
          <w:lang w:val="zh-CN" w:bidi="zh-CN"/>
        </w:rPr>
      </w:pPr>
    </w:p>
    <w:p w14:paraId="77626E21">
      <w:pPr>
        <w:autoSpaceDE w:val="0"/>
        <w:autoSpaceDN w:val="0"/>
        <w:jc w:val="center"/>
        <w:rPr>
          <w:rFonts w:ascii="宋体" w:hAnsi="宋体" w:cs="宋体"/>
          <w:b/>
          <w:color w:val="auto"/>
          <w:sz w:val="28"/>
          <w:szCs w:val="19"/>
          <w:highlight w:val="none"/>
          <w:lang w:val="zh-CN" w:bidi="zh-CN"/>
        </w:rPr>
      </w:pPr>
    </w:p>
    <w:p w14:paraId="31D85EED">
      <w:pPr>
        <w:autoSpaceDE w:val="0"/>
        <w:autoSpaceDN w:val="0"/>
        <w:jc w:val="center"/>
        <w:rPr>
          <w:rFonts w:ascii="宋体" w:hAnsi="宋体" w:cs="宋体"/>
          <w:b/>
          <w:color w:val="auto"/>
          <w:sz w:val="28"/>
          <w:szCs w:val="19"/>
          <w:highlight w:val="none"/>
          <w:lang w:val="zh-CN" w:bidi="zh-CN"/>
        </w:rPr>
      </w:pPr>
    </w:p>
    <w:p w14:paraId="01E76E60">
      <w:pPr>
        <w:autoSpaceDE w:val="0"/>
        <w:autoSpaceDN w:val="0"/>
        <w:spacing w:before="8"/>
        <w:jc w:val="center"/>
        <w:rPr>
          <w:rFonts w:ascii="宋体" w:hAnsi="宋体" w:cs="宋体"/>
          <w:b/>
          <w:color w:val="auto"/>
          <w:sz w:val="38"/>
          <w:szCs w:val="19"/>
          <w:highlight w:val="none"/>
          <w:lang w:val="zh-CN" w:bidi="zh-CN"/>
        </w:rPr>
      </w:pPr>
    </w:p>
    <w:p w14:paraId="0526B049">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29C92E86">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675DEA3">
      <w:pPr>
        <w:autoSpaceDE w:val="0"/>
        <w:autoSpaceDN w:val="0"/>
        <w:jc w:val="center"/>
        <w:rPr>
          <w:rFonts w:ascii="宋体" w:hAnsi="宋体" w:cs="宋体"/>
          <w:b/>
          <w:color w:val="auto"/>
          <w:sz w:val="24"/>
          <w:szCs w:val="19"/>
          <w:highlight w:val="none"/>
          <w:lang w:val="zh-CN" w:bidi="zh-CN"/>
        </w:rPr>
      </w:pPr>
    </w:p>
    <w:p w14:paraId="2F1D4B06">
      <w:pPr>
        <w:autoSpaceDE w:val="0"/>
        <w:autoSpaceDN w:val="0"/>
        <w:jc w:val="center"/>
        <w:rPr>
          <w:rFonts w:ascii="宋体" w:hAnsi="宋体" w:cs="宋体"/>
          <w:b/>
          <w:color w:val="auto"/>
          <w:sz w:val="24"/>
          <w:szCs w:val="19"/>
          <w:highlight w:val="none"/>
          <w:lang w:val="zh-CN" w:bidi="zh-CN"/>
        </w:rPr>
      </w:pPr>
    </w:p>
    <w:p w14:paraId="58770233">
      <w:pPr>
        <w:autoSpaceDE w:val="0"/>
        <w:autoSpaceDN w:val="0"/>
        <w:jc w:val="center"/>
        <w:rPr>
          <w:rFonts w:ascii="宋体" w:hAnsi="宋体" w:cs="宋体"/>
          <w:b/>
          <w:color w:val="auto"/>
          <w:sz w:val="24"/>
          <w:szCs w:val="19"/>
          <w:highlight w:val="none"/>
          <w:lang w:val="zh-CN" w:bidi="zh-CN"/>
        </w:rPr>
      </w:pPr>
    </w:p>
    <w:p w14:paraId="252F4E99">
      <w:pPr>
        <w:autoSpaceDE w:val="0"/>
        <w:autoSpaceDN w:val="0"/>
        <w:jc w:val="center"/>
        <w:rPr>
          <w:rFonts w:ascii="宋体" w:hAnsi="宋体" w:cs="宋体"/>
          <w:b/>
          <w:color w:val="auto"/>
          <w:sz w:val="24"/>
          <w:szCs w:val="19"/>
          <w:highlight w:val="none"/>
          <w:lang w:val="zh-CN" w:bidi="zh-CN"/>
        </w:rPr>
      </w:pPr>
    </w:p>
    <w:p w14:paraId="1F5C1111">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67E1BCE">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A3918DF">
      <w:pPr>
        <w:pStyle w:val="8"/>
        <w:spacing w:before="0" w:line="360" w:lineRule="auto"/>
        <w:ind w:left="0"/>
        <w:rPr>
          <w:b/>
          <w:bCs/>
          <w:color w:val="auto"/>
          <w:sz w:val="21"/>
          <w:szCs w:val="21"/>
          <w:highlight w:val="none"/>
          <w:lang w:val="en-US"/>
        </w:rPr>
      </w:pPr>
      <w:r>
        <w:rPr>
          <w:rFonts w:hint="eastAsia"/>
          <w:b/>
          <w:bCs/>
          <w:color w:val="auto"/>
          <w:sz w:val="21"/>
          <w:szCs w:val="21"/>
          <w:highlight w:val="none"/>
          <w:lang w:val="en-US"/>
        </w:rPr>
        <w:t>开标文件包括：</w:t>
      </w:r>
    </w:p>
    <w:p w14:paraId="3079F9BD">
      <w:pPr>
        <w:pStyle w:val="8"/>
        <w:spacing w:before="0" w:line="360" w:lineRule="auto"/>
        <w:ind w:left="0"/>
        <w:outlineLvl w:val="1"/>
        <w:rPr>
          <w:b/>
          <w:bCs/>
          <w:color w:val="auto"/>
          <w:sz w:val="21"/>
          <w:szCs w:val="21"/>
          <w:highlight w:val="none"/>
          <w:lang w:val="en-US"/>
        </w:rPr>
      </w:pPr>
      <w:bookmarkStart w:id="168" w:name="_Toc32100"/>
      <w:r>
        <w:rPr>
          <w:rFonts w:hint="eastAsia"/>
          <w:b/>
          <w:bCs/>
          <w:color w:val="auto"/>
          <w:sz w:val="21"/>
          <w:szCs w:val="21"/>
          <w:highlight w:val="none"/>
          <w:lang w:val="en-US"/>
        </w:rPr>
        <w:t>1、开标一览表</w:t>
      </w:r>
      <w:bookmarkEnd w:id="168"/>
    </w:p>
    <w:p w14:paraId="70C08169">
      <w:pPr>
        <w:spacing w:line="360" w:lineRule="auto"/>
        <w:outlineLvl w:val="1"/>
        <w:rPr>
          <w:rFonts w:ascii="宋体" w:hAnsi="宋体" w:cs="宋体"/>
          <w:b/>
          <w:bCs/>
          <w:color w:val="auto"/>
          <w:szCs w:val="21"/>
          <w:highlight w:val="none"/>
        </w:rPr>
      </w:pPr>
      <w:bookmarkStart w:id="169" w:name="_Toc8054"/>
      <w:r>
        <w:rPr>
          <w:rFonts w:hint="eastAsia" w:ascii="宋体" w:hAnsi="宋体" w:cs="宋体"/>
          <w:b/>
          <w:bCs/>
          <w:color w:val="auto"/>
          <w:szCs w:val="21"/>
          <w:highlight w:val="none"/>
        </w:rPr>
        <w:t>2、分项报价表</w:t>
      </w:r>
      <w:bookmarkEnd w:id="169"/>
    </w:p>
    <w:p w14:paraId="3CF8165F">
      <w:pPr>
        <w:pStyle w:val="8"/>
        <w:spacing w:before="0" w:line="360" w:lineRule="auto"/>
        <w:ind w:left="0"/>
        <w:outlineLvl w:val="1"/>
        <w:rPr>
          <w:b/>
          <w:bCs/>
          <w:color w:val="auto"/>
          <w:sz w:val="21"/>
          <w:szCs w:val="21"/>
          <w:highlight w:val="none"/>
          <w:lang w:val="en-US"/>
        </w:rPr>
      </w:pPr>
      <w:bookmarkStart w:id="170" w:name="_Toc5011"/>
      <w:r>
        <w:rPr>
          <w:rFonts w:hint="eastAsia"/>
          <w:b/>
          <w:bCs/>
          <w:color w:val="auto"/>
          <w:sz w:val="21"/>
          <w:szCs w:val="21"/>
          <w:highlight w:val="none"/>
          <w:lang w:val="en-US"/>
        </w:rPr>
        <w:t>3、法定代表人证明书</w:t>
      </w:r>
      <w:bookmarkEnd w:id="170"/>
    </w:p>
    <w:p w14:paraId="225302A8">
      <w:pPr>
        <w:pStyle w:val="8"/>
        <w:spacing w:before="0" w:line="360" w:lineRule="auto"/>
        <w:ind w:left="0"/>
        <w:outlineLvl w:val="1"/>
        <w:rPr>
          <w:b/>
          <w:bCs/>
          <w:color w:val="auto"/>
          <w:sz w:val="21"/>
          <w:szCs w:val="21"/>
          <w:highlight w:val="none"/>
          <w:lang w:val="en-US"/>
        </w:rPr>
      </w:pPr>
      <w:bookmarkStart w:id="171" w:name="_Toc27439"/>
      <w:r>
        <w:rPr>
          <w:rFonts w:hint="eastAsia"/>
          <w:b/>
          <w:bCs/>
          <w:color w:val="auto"/>
          <w:sz w:val="21"/>
          <w:szCs w:val="21"/>
          <w:highlight w:val="none"/>
          <w:lang w:val="en-US"/>
        </w:rPr>
        <w:t>4、法定代表人授权书</w:t>
      </w:r>
      <w:bookmarkEnd w:id="171"/>
    </w:p>
    <w:p w14:paraId="626F2034">
      <w:pPr>
        <w:spacing w:line="360" w:lineRule="auto"/>
        <w:outlineLvl w:val="1"/>
        <w:rPr>
          <w:rFonts w:ascii="宋体" w:hAnsi="宋体" w:cs="宋体"/>
          <w:b/>
          <w:bCs/>
          <w:color w:val="auto"/>
          <w:szCs w:val="21"/>
          <w:highlight w:val="none"/>
        </w:rPr>
      </w:pPr>
      <w:bookmarkStart w:id="172" w:name="_Toc16304"/>
      <w:r>
        <w:rPr>
          <w:rFonts w:hint="eastAsia" w:ascii="宋体" w:hAnsi="宋体" w:cs="宋体"/>
          <w:b/>
          <w:bCs/>
          <w:color w:val="auto"/>
          <w:szCs w:val="21"/>
          <w:highlight w:val="none"/>
        </w:rPr>
        <w:t>5、投标保证金</w:t>
      </w:r>
      <w:bookmarkEnd w:id="172"/>
    </w:p>
    <w:p w14:paraId="15E7D1C4">
      <w:pPr>
        <w:rPr>
          <w:color w:val="auto"/>
          <w:highlight w:val="none"/>
        </w:rPr>
      </w:pPr>
    </w:p>
    <w:p w14:paraId="7D126FA2">
      <w:pPr>
        <w:pStyle w:val="8"/>
        <w:rPr>
          <w:color w:val="auto"/>
          <w:highlight w:val="none"/>
          <w:lang w:val="en-US"/>
        </w:rPr>
      </w:pPr>
    </w:p>
    <w:p w14:paraId="64EF61F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若投标人采用担保函形式的，则无需密封在“开标文件”内，投标人需在开标时间截止前将原件提交至招标代理机构。</w:t>
      </w:r>
    </w:p>
    <w:p w14:paraId="4053CC18">
      <w:pPr>
        <w:rPr>
          <w:rFonts w:ascii="宋体" w:hAnsi="宋体"/>
          <w:color w:val="auto"/>
          <w:szCs w:val="21"/>
          <w:highlight w:val="none"/>
        </w:rPr>
      </w:pPr>
      <w:r>
        <w:rPr>
          <w:rFonts w:hint="eastAsia" w:ascii="宋体" w:hAnsi="宋体"/>
          <w:color w:val="auto"/>
          <w:szCs w:val="21"/>
          <w:highlight w:val="none"/>
        </w:rPr>
        <w:br w:type="page"/>
      </w:r>
    </w:p>
    <w:p w14:paraId="62E82AE7">
      <w:pPr>
        <w:pStyle w:val="3"/>
        <w:rPr>
          <w:color w:val="auto"/>
          <w:highlight w:val="none"/>
        </w:rPr>
      </w:pPr>
      <w:bookmarkStart w:id="173" w:name="_Toc2722"/>
      <w:r>
        <w:rPr>
          <w:rFonts w:hint="eastAsia"/>
          <w:color w:val="auto"/>
          <w:highlight w:val="none"/>
        </w:rPr>
        <w:t>第八篇 其它文件格式（如有需要）</w:t>
      </w:r>
      <w:bookmarkEnd w:id="173"/>
    </w:p>
    <w:p w14:paraId="5FB16596">
      <w:pPr>
        <w:rPr>
          <w:b/>
          <w:bCs/>
          <w:color w:val="auto"/>
          <w:highlight w:val="none"/>
        </w:rPr>
      </w:pPr>
      <w:r>
        <w:rPr>
          <w:rFonts w:hint="eastAsia"/>
          <w:b/>
          <w:bCs/>
          <w:color w:val="auto"/>
          <w:highlight w:val="none"/>
        </w:rPr>
        <w:t>格式一：</w:t>
      </w:r>
    </w:p>
    <w:p w14:paraId="52BA56B1">
      <w:pPr>
        <w:jc w:val="center"/>
        <w:rPr>
          <w:b/>
          <w:bCs/>
          <w:color w:val="auto"/>
          <w:highlight w:val="none"/>
        </w:rPr>
      </w:pPr>
      <w:r>
        <w:rPr>
          <w:b/>
          <w:bCs/>
          <w:color w:val="auto"/>
          <w:highlight w:val="none"/>
        </w:rPr>
        <w:t>询问函、质疑函格式</w:t>
      </w:r>
    </w:p>
    <w:p w14:paraId="625A1C9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说明：本部分格式为投标人提交询问函、质疑函时使用，不属于投标文件格式的组成部分。</w:t>
      </w:r>
    </w:p>
    <w:p w14:paraId="48D45469">
      <w:pPr>
        <w:jc w:val="center"/>
        <w:rPr>
          <w:b/>
          <w:bCs/>
          <w:color w:val="auto"/>
          <w:highlight w:val="none"/>
        </w:rPr>
      </w:pPr>
      <w:r>
        <w:rPr>
          <w:b/>
          <w:bCs/>
          <w:color w:val="auto"/>
          <w:highlight w:val="none"/>
        </w:rPr>
        <w:t>询问函</w:t>
      </w:r>
    </w:p>
    <w:p w14:paraId="241E48C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DC80D4">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）的投标活动，现有以下几个内容（或条款）存在疑问（或无法理解），特提出询问。</w:t>
      </w:r>
    </w:p>
    <w:p w14:paraId="7D5C9D68">
      <w:pPr>
        <w:pStyle w:val="8"/>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1188EF8E">
      <w:pPr>
        <w:pStyle w:val="24"/>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7EFA2BF7">
      <w:pPr>
        <w:pStyle w:val="24"/>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784DE67E">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350BAC9D">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136C08EE">
      <w:pPr>
        <w:pStyle w:val="8"/>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EB5BF27">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37640379">
      <w:pPr>
        <w:pStyle w:val="8"/>
        <w:tabs>
          <w:tab w:val="left" w:pos="10713"/>
        </w:tabs>
        <w:autoSpaceDE w:val="0"/>
        <w:autoSpaceDN w:val="0"/>
        <w:spacing w:before="0" w:line="360" w:lineRule="auto"/>
        <w:ind w:left="0" w:firstLine="420" w:firstLineChars="200"/>
        <w:rPr>
          <w:color w:val="auto"/>
          <w:sz w:val="21"/>
          <w:szCs w:val="21"/>
          <w:highlight w:val="none"/>
        </w:rPr>
      </w:pPr>
    </w:p>
    <w:p w14:paraId="5AB367BC">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9A8C4D1">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17F0F9CF">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2D6D5ADE">
      <w:pPr>
        <w:pStyle w:val="8"/>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5B5D0175">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38C5279B">
      <w:pPr>
        <w:rPr>
          <w:color w:val="auto"/>
          <w:szCs w:val="21"/>
          <w:highlight w:val="none"/>
        </w:rPr>
      </w:pPr>
      <w:r>
        <w:rPr>
          <w:color w:val="auto"/>
          <w:szCs w:val="21"/>
          <w:highlight w:val="none"/>
        </w:rPr>
        <w:br w:type="page"/>
      </w:r>
    </w:p>
    <w:p w14:paraId="772F662A">
      <w:pPr>
        <w:jc w:val="center"/>
        <w:rPr>
          <w:b/>
          <w:bCs/>
          <w:color w:val="auto"/>
          <w:highlight w:val="none"/>
        </w:rPr>
      </w:pPr>
      <w:r>
        <w:rPr>
          <w:b/>
          <w:bCs/>
          <w:color w:val="auto"/>
          <w:highlight w:val="none"/>
        </w:rPr>
        <w:t>质疑函</w:t>
      </w:r>
    </w:p>
    <w:p w14:paraId="29AE96E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71A938ED">
      <w:pPr>
        <w:pStyle w:val="8"/>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3986F8">
      <w:pPr>
        <w:pStyle w:val="8"/>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581DEC6A">
      <w:pPr>
        <w:pStyle w:val="8"/>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7D6DD6D4">
      <w:pPr>
        <w:pStyle w:val="8"/>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4B640C97">
      <w:pPr>
        <w:pStyle w:val="8"/>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0495C475">
      <w:pPr>
        <w:pStyle w:val="8"/>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3671DB93">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66CABCE2">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采购文件获取日期：</w:t>
      </w:r>
      <w:r>
        <w:rPr>
          <w:color w:val="auto"/>
          <w:sz w:val="21"/>
          <w:szCs w:val="21"/>
          <w:highlight w:val="none"/>
          <w:u w:val="single"/>
        </w:rPr>
        <w:tab/>
      </w:r>
      <w:r>
        <w:rPr>
          <w:color w:val="auto"/>
          <w:sz w:val="21"/>
          <w:szCs w:val="21"/>
          <w:highlight w:val="none"/>
          <w:u w:val="single"/>
        </w:rPr>
        <w:t xml:space="preserve">      </w:t>
      </w:r>
    </w:p>
    <w:p w14:paraId="5D8D446C">
      <w:pPr>
        <w:pStyle w:val="8"/>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50BF2366">
      <w:pPr>
        <w:pStyle w:val="8"/>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2EC8EC9F">
      <w:pPr>
        <w:pStyle w:val="8"/>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09EC37E3">
      <w:pPr>
        <w:pStyle w:val="8"/>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62FCE060">
      <w:pPr>
        <w:pStyle w:val="8"/>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6EFE144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5D651DB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A68FA0B">
      <w:pPr>
        <w:pStyle w:val="8"/>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A731C48">
      <w:pPr>
        <w:pStyle w:val="8"/>
        <w:tabs>
          <w:tab w:val="left" w:pos="3165"/>
          <w:tab w:val="left" w:pos="5818"/>
        </w:tabs>
        <w:autoSpaceDE w:val="0"/>
        <w:autoSpaceDN w:val="0"/>
        <w:spacing w:line="360" w:lineRule="auto"/>
        <w:ind w:left="0" w:firstLine="420" w:firstLineChars="200"/>
        <w:rPr>
          <w:color w:val="auto"/>
          <w:sz w:val="21"/>
          <w:szCs w:val="21"/>
          <w:highlight w:val="none"/>
        </w:rPr>
      </w:pPr>
    </w:p>
    <w:p w14:paraId="1EF72C57">
      <w:pPr>
        <w:pStyle w:val="8"/>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rFonts w:hint="eastAsia"/>
          <w:color w:val="auto"/>
          <w:spacing w:val="-3"/>
          <w:sz w:val="21"/>
          <w:szCs w:val="21"/>
          <w:highlight w:val="none"/>
          <w:lang w:eastAsia="zh-CN"/>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10E48AFB">
      <w:pPr>
        <w:pStyle w:val="8"/>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26B6063">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0C4B9AAD">
      <w:pPr>
        <w:pStyle w:val="8"/>
        <w:autoSpaceDE w:val="0"/>
        <w:autoSpaceDN w:val="0"/>
        <w:spacing w:line="360" w:lineRule="auto"/>
        <w:ind w:left="0" w:firstLine="420" w:firstLineChars="200"/>
        <w:rPr>
          <w:color w:val="auto"/>
          <w:sz w:val="21"/>
          <w:szCs w:val="21"/>
          <w:highlight w:val="none"/>
        </w:rPr>
      </w:pPr>
    </w:p>
    <w:p w14:paraId="5C3DBDEB">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7C09E5D0">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77993E75">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1586D180">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1BADBBE9">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34CFFFB9">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28E8CC85">
      <w:pPr>
        <w:pStyle w:val="24"/>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3A620F40">
      <w:pPr>
        <w:rPr>
          <w:color w:val="auto"/>
          <w:szCs w:val="21"/>
          <w:highlight w:val="none"/>
        </w:rPr>
      </w:pPr>
      <w:r>
        <w:rPr>
          <w:color w:val="auto"/>
          <w:szCs w:val="21"/>
          <w:highlight w:val="none"/>
        </w:rPr>
        <w:br w:type="page"/>
      </w:r>
    </w:p>
    <w:p w14:paraId="2EBA7319">
      <w:pPr>
        <w:pStyle w:val="8"/>
        <w:rPr>
          <w:b/>
          <w:bCs/>
          <w:color w:val="auto"/>
          <w:highlight w:val="none"/>
        </w:rPr>
      </w:pPr>
      <w:r>
        <w:rPr>
          <w:rFonts w:hint="eastAsia"/>
          <w:b/>
          <w:bCs/>
          <w:color w:val="auto"/>
          <w:highlight w:val="none"/>
        </w:rPr>
        <w:t>格式二：</w:t>
      </w:r>
    </w:p>
    <w:p w14:paraId="0C1EA596">
      <w:pPr>
        <w:jc w:val="center"/>
        <w:rPr>
          <w:b/>
          <w:bCs/>
          <w:color w:val="auto"/>
          <w:highlight w:val="none"/>
        </w:rPr>
      </w:pPr>
      <w:r>
        <w:rPr>
          <w:rFonts w:hint="eastAsia"/>
          <w:b/>
          <w:bCs/>
          <w:color w:val="auto"/>
          <w:highlight w:val="none"/>
        </w:rPr>
        <w:t>投标担保函</w:t>
      </w:r>
    </w:p>
    <w:p w14:paraId="515B2A3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6638974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w:t>
      </w:r>
    </w:p>
    <w:p w14:paraId="3FBC1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（以下简称“投标人”）拟参加编号为</w:t>
      </w:r>
      <w:r>
        <w:rPr>
          <w:rFonts w:hint="eastAsia" w:ascii="宋体" w:hAnsi="宋体" w:cs="宋体"/>
          <w:color w:val="auto"/>
          <w:szCs w:val="21"/>
          <w:highlight w:val="none"/>
          <w:u w:val="single"/>
        </w:rPr>
        <w:t xml:space="preserve">            的</w:t>
      </w:r>
    </w:p>
    <w:p w14:paraId="6116FD33">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7C8A37A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（一）在投标人出现下列情形之一时，我方承担保证责任：</w:t>
      </w:r>
    </w:p>
    <w:p w14:paraId="61B38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1．中标后投标人无正当理由不与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或者招标代理机构签订合同；</w:t>
      </w:r>
    </w:p>
    <w:p w14:paraId="089C7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2．招标文件规定的投标人应当缴纳保证金的其他情形。</w:t>
      </w:r>
    </w:p>
    <w:p w14:paraId="6E27948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），即本项目的投标保证金金额。</w:t>
      </w:r>
    </w:p>
    <w:p w14:paraId="489560E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40500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1D0F0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09A50C5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6632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7F04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8143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2．因你方原因致使投标人发生本保函第一条第（一）款约定情形的，我方不承担保证责任。</w:t>
      </w:r>
    </w:p>
    <w:p w14:paraId="20EC3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3．因不可抗力造成投标人发生本保函第一条约定情形的，我方不承担保证责任。</w:t>
      </w:r>
    </w:p>
    <w:p w14:paraId="3070CA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36EB8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799991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4ABD3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4CB373E0">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7842D54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2D39FEE4">
      <w:pPr>
        <w:spacing w:line="360" w:lineRule="auto"/>
        <w:rPr>
          <w:rFonts w:ascii="宋体" w:hAnsi="宋体"/>
          <w:color w:val="auto"/>
          <w:szCs w:val="21"/>
          <w:highlight w:val="none"/>
        </w:rPr>
      </w:pPr>
      <w:r>
        <w:rPr>
          <w:rFonts w:hint="eastAsia" w:ascii="宋体" w:hAnsi="宋体"/>
          <w:color w:val="auto"/>
          <w:szCs w:val="21"/>
          <w:highlight w:val="none"/>
        </w:rPr>
        <w:t>注：</w:t>
      </w:r>
    </w:p>
    <w:p w14:paraId="2852F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（1）若投标人不以投标担保函</w:t>
      </w:r>
      <w:r>
        <w:rPr>
          <w:rFonts w:hint="eastAsia" w:ascii="宋体" w:hAnsi="宋体" w:cs="宋体"/>
          <w:color w:val="auto"/>
          <w:szCs w:val="21"/>
          <w:highlight w:val="none"/>
        </w:rPr>
        <w:t>形式</w:t>
      </w:r>
      <w:r>
        <w:rPr>
          <w:rFonts w:hint="eastAsia" w:ascii="宋体" w:hAnsi="宋体"/>
          <w:color w:val="auto"/>
          <w:szCs w:val="21"/>
          <w:highlight w:val="none"/>
        </w:rPr>
        <w:t>提交投标保证金，则无需在投标文件中提供此格式。</w:t>
      </w:r>
    </w:p>
    <w:p w14:paraId="3E54DA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（2）若投标人以投标担保函形式提交投标保证金，则应将投标担保函原件交予招标代理机构。</w:t>
      </w:r>
    </w:p>
    <w:p w14:paraId="1EE9656B">
      <w:pPr>
        <w:rPr>
          <w:rFonts w:ascii="宋体" w:hAnsi="宋体"/>
          <w:color w:val="auto"/>
          <w:szCs w:val="21"/>
          <w:highlight w:val="none"/>
        </w:rPr>
      </w:pPr>
      <w:r>
        <w:rPr>
          <w:rFonts w:hint="eastAsia" w:ascii="宋体" w:hAnsi="宋体"/>
          <w:color w:val="auto"/>
          <w:szCs w:val="21"/>
          <w:highlight w:val="none"/>
        </w:rPr>
        <w:br w:type="page"/>
      </w:r>
    </w:p>
    <w:p w14:paraId="3D0A5FFF">
      <w:pPr>
        <w:pStyle w:val="8"/>
        <w:rPr>
          <w:b/>
          <w:bCs/>
          <w:color w:val="auto"/>
          <w:highlight w:val="none"/>
        </w:rPr>
      </w:pPr>
      <w:r>
        <w:rPr>
          <w:rFonts w:hint="eastAsia"/>
          <w:b/>
          <w:bCs/>
          <w:color w:val="auto"/>
          <w:highlight w:val="none"/>
        </w:rPr>
        <w:t>格式三：</w:t>
      </w:r>
    </w:p>
    <w:p w14:paraId="62F40A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021C9D06">
      <w:pPr>
        <w:spacing w:line="360" w:lineRule="auto"/>
        <w:ind w:firstLine="3512" w:firstLineChars="1666"/>
        <w:rPr>
          <w:rFonts w:ascii="宋体" w:hAnsi="宋体" w:cs="宋体"/>
          <w:b/>
          <w:color w:val="auto"/>
          <w:szCs w:val="21"/>
          <w:highlight w:val="none"/>
        </w:rPr>
      </w:pPr>
    </w:p>
    <w:p w14:paraId="43B67205">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0818AEF8">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27819CC3">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1115C5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一)在供应商出现下列情形之一时，我方承担保证责任：</w:t>
      </w:r>
    </w:p>
    <w:p w14:paraId="536EA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1.将中标项目转让给他人，或者在投标文件中未说明，且未经采购招标机构人同意，将中标项目分包给他人的；</w:t>
      </w:r>
    </w:p>
    <w:p w14:paraId="287A0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2.主合同约定的应 当缴纳履约保证金的情形:</w:t>
      </w:r>
    </w:p>
    <w:p w14:paraId="5AFAA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1）未按主合同约定的质量、数量和期限供应货物／提供服务／完成工程的；</w:t>
      </w:r>
    </w:p>
    <w:p w14:paraId="307B1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2)_______________________________________________________________。</w:t>
      </w:r>
    </w:p>
    <w:p w14:paraId="643299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5296025D">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42F2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2BC49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2CF4552D">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59F5C98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3F11EE6E">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60AD3ED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429561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659E9172">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146C5B9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5E613ACA">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50B012BF">
      <w:pPr>
        <w:spacing w:line="360" w:lineRule="auto"/>
        <w:ind w:firstLine="405"/>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1258870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278E4E4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58E4242E">
      <w:pPr>
        <w:rPr>
          <w:rFonts w:ascii="宋体" w:hAnsi="宋体" w:cs="宋体"/>
          <w:color w:val="auto"/>
          <w:szCs w:val="21"/>
          <w:highlight w:val="none"/>
        </w:rPr>
      </w:pPr>
      <w:r>
        <w:rPr>
          <w:rFonts w:hint="eastAsia" w:ascii="宋体" w:hAnsi="宋体" w:cs="宋体"/>
          <w:color w:val="auto"/>
          <w:szCs w:val="21"/>
          <w:highlight w:val="none"/>
        </w:rPr>
        <w:br w:type="page"/>
      </w:r>
    </w:p>
    <w:p w14:paraId="6BAA9A0A">
      <w:pPr>
        <w:pStyle w:val="8"/>
        <w:rPr>
          <w:b/>
          <w:bCs/>
          <w:color w:val="auto"/>
          <w:highlight w:val="none"/>
        </w:rPr>
      </w:pPr>
      <w:r>
        <w:rPr>
          <w:rFonts w:hint="eastAsia"/>
          <w:b/>
          <w:bCs/>
          <w:color w:val="auto"/>
          <w:highlight w:val="none"/>
        </w:rPr>
        <w:t>格式四：</w:t>
      </w:r>
    </w:p>
    <w:p w14:paraId="7286B6D5">
      <w:pPr>
        <w:jc w:val="center"/>
        <w:rPr>
          <w:b/>
          <w:bCs/>
          <w:color w:val="auto"/>
          <w:highlight w:val="none"/>
        </w:rPr>
      </w:pPr>
      <w:r>
        <w:rPr>
          <w:rFonts w:hint="eastAsia"/>
          <w:b/>
          <w:bCs/>
          <w:color w:val="auto"/>
          <w:highlight w:val="none"/>
        </w:rPr>
        <w:t>联合体共同投标协议书</w:t>
      </w:r>
    </w:p>
    <w:p w14:paraId="7B2D1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33C91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1C67E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295082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6B8D5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0B2E88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1.作为联合体的牵头单位，代表联合体双方负责投标和合同实施阶段的主办、协调工作。</w:t>
      </w:r>
    </w:p>
    <w:p w14:paraId="62A6E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如果本联合体中标，（甲公司全称）负责本项目            部分，（乙公司全称）负责本项目              部分。</w:t>
      </w:r>
    </w:p>
    <w:p w14:paraId="3F1AFE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auto"/>
          <w:szCs w:val="21"/>
          <w:highlight w:val="none"/>
        </w:rPr>
      </w:pPr>
    </w:p>
    <w:p w14:paraId="7B55D0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461F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18F2C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4081914D">
      <w:pPr>
        <w:spacing w:line="360" w:lineRule="auto"/>
        <w:ind w:firstLine="420" w:firstLineChars="200"/>
        <w:rPr>
          <w:rFonts w:ascii="宋体" w:hAnsi="宋体"/>
          <w:color w:val="auto"/>
          <w:szCs w:val="21"/>
          <w:highlight w:val="none"/>
        </w:rPr>
      </w:pPr>
    </w:p>
    <w:p w14:paraId="60A703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注：1．联合投标时需签本协议，联合体各方成员应在本协议上共同盖章确认。</w:t>
      </w:r>
    </w:p>
    <w:p w14:paraId="4D5B3141">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25C259C3">
      <w:pPr>
        <w:spacing w:line="360" w:lineRule="auto"/>
        <w:rPr>
          <w:rFonts w:ascii="宋体" w:hAnsi="宋体" w:cs="宋体"/>
          <w:color w:val="auto"/>
          <w:highlight w:val="none"/>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Heavy">
    <w:altName w:val="黑体"/>
    <w:panose1 w:val="020B0A00000000000000"/>
    <w:charset w:val="80"/>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7E4BF">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7E4BF">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79AEA">
                          <w:pPr>
                            <w:pStyle w:val="12"/>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679AEA">
                    <w:pPr>
                      <w:pStyle w:val="12"/>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3"/>
      <w:pBdr>
        <w:bottom w:val="single" w:color="auto" w:sz="4" w:space="1"/>
      </w:pBdr>
      <w:jc w:val="center"/>
      <w:rPr>
        <w:rFonts w:hint="eastAsia" w:eastAsia="宋体"/>
        <w:lang w:eastAsia="zh-CN"/>
      </w:rPr>
    </w:pPr>
    <w:r>
      <w:rPr>
        <w:rFonts w:hint="eastAsia"/>
        <w:lang w:eastAsia="zh-CN"/>
      </w:rPr>
      <w:t>东莞市第二高级中学饭堂食材配送项目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篇"/>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pPr>
        <w:ind w:left="660"/>
      </w:pPr>
    </w:lvl>
  </w:abstractNum>
  <w:abstractNum w:abstractNumId="3">
    <w:nsid w:val="00000003"/>
    <w:multiLevelType w:val="multilevel"/>
    <w:tmpl w:val="00000003"/>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space"/>
      <w:lvlText w:val="%1)"/>
      <w:lvlJc w:val="left"/>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474EC"/>
    <w:rsid w:val="06F1453A"/>
    <w:rsid w:val="07461B9C"/>
    <w:rsid w:val="0C350254"/>
    <w:rsid w:val="13A72604"/>
    <w:rsid w:val="15357E7A"/>
    <w:rsid w:val="1AB1495E"/>
    <w:rsid w:val="1EEC6317"/>
    <w:rsid w:val="1F994D74"/>
    <w:rsid w:val="203D7F9F"/>
    <w:rsid w:val="22AD4B6E"/>
    <w:rsid w:val="26DC0AC8"/>
    <w:rsid w:val="2E7F7045"/>
    <w:rsid w:val="33A05550"/>
    <w:rsid w:val="3E1503E1"/>
    <w:rsid w:val="42002B06"/>
    <w:rsid w:val="428723A3"/>
    <w:rsid w:val="430A1C68"/>
    <w:rsid w:val="44685382"/>
    <w:rsid w:val="4DFC0FAD"/>
    <w:rsid w:val="4F3C119B"/>
    <w:rsid w:val="4FD1757E"/>
    <w:rsid w:val="5572565F"/>
    <w:rsid w:val="55E23466"/>
    <w:rsid w:val="59AD2939"/>
    <w:rsid w:val="61021EFD"/>
    <w:rsid w:val="62525FDC"/>
    <w:rsid w:val="62C24DDA"/>
    <w:rsid w:val="62C354F4"/>
    <w:rsid w:val="68F24BDB"/>
    <w:rsid w:val="6AA7482B"/>
    <w:rsid w:val="706273EA"/>
    <w:rsid w:val="70AC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宋体"/>
      <w:kern w:val="2"/>
      <w:sz w:val="21"/>
      <w:szCs w:val="24"/>
      <w:lang w:val="en-US" w:eastAsia="zh-CN" w:bidi="ar-SA"/>
    </w:rPr>
  </w:style>
  <w:style w:type="paragraph" w:styleId="3">
    <w:name w:val="heading 1"/>
    <w:basedOn w:val="1"/>
    <w:next w:val="1"/>
    <w:link w:val="25"/>
    <w:qFormat/>
    <w:uiPriority w:val="0"/>
    <w:pPr>
      <w:keepNext/>
      <w:keepLines/>
      <w:spacing w:line="576" w:lineRule="auto"/>
      <w:jc w:val="center"/>
      <w:outlineLvl w:val="0"/>
    </w:pPr>
    <w:rPr>
      <w:b/>
      <w:kern w:val="44"/>
      <w:sz w:val="30"/>
    </w:rPr>
  </w:style>
  <w:style w:type="paragraph" w:styleId="4">
    <w:name w:val="heading 2"/>
    <w:basedOn w:val="1"/>
    <w:next w:val="1"/>
    <w:qFormat/>
    <w:uiPriority w:val="0"/>
    <w:pPr>
      <w:keepNext/>
      <w:keepLines/>
      <w:spacing w:line="413" w:lineRule="auto"/>
      <w:jc w:val="center"/>
      <w:outlineLvl w:val="1"/>
    </w:pPr>
    <w:rPr>
      <w:rFonts w:ascii="Arial" w:hAnsi="Arial"/>
      <w:b/>
      <w:sz w:val="28"/>
    </w:rPr>
  </w:style>
  <w:style w:type="paragraph" w:styleId="2">
    <w:name w:val="heading 3"/>
    <w:basedOn w:val="1"/>
    <w:next w:val="1"/>
    <w:qFormat/>
    <w:uiPriority w:val="0"/>
    <w:pPr>
      <w:keepNext/>
      <w:keepLines/>
      <w:spacing w:line="360" w:lineRule="auto"/>
      <w:outlineLvl w:val="2"/>
    </w:pPr>
    <w:rPr>
      <w:b/>
    </w:rPr>
  </w:style>
  <w:style w:type="paragraph" w:styleId="5">
    <w:name w:val="heading 4"/>
    <w:basedOn w:val="1"/>
    <w:next w:val="1"/>
    <w:qFormat/>
    <w:uiPriority w:val="9"/>
    <w:pPr>
      <w:keepNext/>
      <w:keepLines/>
      <w:spacing w:before="280" w:after="290" w:line="376" w:lineRule="auto"/>
      <w:outlineLvl w:val="3"/>
    </w:pPr>
    <w:rPr>
      <w:rFonts w:ascii="Cambria" w:hAnsi="Cambria" w:cs="Times New Roman"/>
      <w:b/>
      <w:bCs/>
      <w:sz w:val="28"/>
      <w:szCs w:val="28"/>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annotation text"/>
    <w:basedOn w:val="1"/>
    <w:qFormat/>
    <w:uiPriority w:val="0"/>
  </w:style>
  <w:style w:type="paragraph" w:styleId="8">
    <w:name w:val="Body Text"/>
    <w:basedOn w:val="1"/>
    <w:next w:val="1"/>
    <w:qFormat/>
    <w:uiPriority w:val="1"/>
    <w:pPr>
      <w:spacing w:before="161"/>
      <w:ind w:left="120"/>
    </w:pPr>
    <w:rPr>
      <w:rFonts w:ascii="宋体" w:hAnsi="宋体" w:cs="宋体"/>
      <w:sz w:val="24"/>
      <w:lang w:val="zh-CN" w:bidi="zh-CN"/>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eastAsia="宋体"/>
      <w:szCs w:val="22"/>
    </w:rPr>
  </w:style>
  <w:style w:type="paragraph" w:styleId="11">
    <w:name w:val="Balloon Text"/>
    <w:basedOn w:val="1"/>
    <w:link w:val="32"/>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rPr>
      <w:rFonts w:cs="Times New Roman"/>
      <w:kern w:val="0"/>
      <w:sz w:val="24"/>
    </w:rPr>
  </w:style>
  <w:style w:type="paragraph" w:styleId="16">
    <w:name w:val="Body Text First Indent 2"/>
    <w:basedOn w:val="9"/>
    <w:qFormat/>
    <w:uiPriority w:val="0"/>
    <w:pPr>
      <w:spacing w:line="360" w:lineRule="auto"/>
      <w:ind w:firstLine="420" w:firstLineChars="200"/>
    </w:pPr>
    <w:rPr>
      <w:bCs/>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link w:val="3"/>
    <w:qFormat/>
    <w:uiPriority w:val="0"/>
    <w:rPr>
      <w:b/>
      <w:kern w:val="44"/>
      <w:sz w:val="30"/>
    </w:rPr>
  </w:style>
  <w:style w:type="paragraph" w:customStyle="1" w:styleId="26">
    <w:name w:val="Table Paragraph"/>
    <w:basedOn w:val="1"/>
    <w:qFormat/>
    <w:uiPriority w:val="1"/>
  </w:style>
  <w:style w:type="paragraph" w:customStyle="1" w:styleId="27">
    <w:name w:val="正文缩进2格"/>
    <w:basedOn w:val="1"/>
    <w:next w:val="1"/>
    <w:qFormat/>
    <w:uiPriority w:val="0"/>
    <w:pPr>
      <w:spacing w:line="600" w:lineRule="exact"/>
      <w:ind w:firstLine="639" w:firstLineChars="206"/>
      <w:jc w:val="both"/>
    </w:pPr>
    <w:rPr>
      <w:rFonts w:ascii="仿宋_GB2312" w:hAnsi="宋体" w:eastAsia="仿宋_GB2312"/>
      <w:sz w:val="31"/>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WPSOffice手动目录 2"/>
    <w:qFormat/>
    <w:uiPriority w:val="0"/>
    <w:pPr>
      <w:ind w:left="200" w:leftChars="200"/>
    </w:pPr>
    <w:rPr>
      <w:rFonts w:ascii="Calibri" w:hAnsi="Calibri" w:eastAsia="宋体" w:cs="宋体"/>
      <w:lang w:val="en-US" w:eastAsia="zh-CN" w:bidi="ar-SA"/>
    </w:rPr>
  </w:style>
  <w:style w:type="paragraph" w:customStyle="1" w:styleId="30">
    <w:name w:val="WPSOffice手动目录 3"/>
    <w:qFormat/>
    <w:uiPriority w:val="0"/>
    <w:pPr>
      <w:ind w:left="400" w:leftChars="400"/>
    </w:pPr>
    <w:rPr>
      <w:rFonts w:ascii="Calibri" w:hAnsi="Calibri" w:eastAsia="宋体" w:cs="宋体"/>
      <w:lang w:val="en-US" w:eastAsia="zh-CN" w:bidi="ar-SA"/>
    </w:rPr>
  </w:style>
  <w:style w:type="paragraph" w:customStyle="1" w:styleId="31">
    <w:name w:val="列出段落1"/>
    <w:basedOn w:val="1"/>
    <w:qFormat/>
    <w:uiPriority w:val="0"/>
    <w:pPr>
      <w:ind w:firstLine="420" w:firstLineChars="200"/>
    </w:pPr>
    <w:rPr>
      <w:rFonts w:ascii="Calibri" w:hAnsi="Calibri"/>
      <w:kern w:val="0"/>
      <w:sz w:val="20"/>
      <w:szCs w:val="20"/>
    </w:rPr>
  </w:style>
  <w:style w:type="character" w:customStyle="1" w:styleId="32">
    <w:name w:val="批注框文本 Char"/>
    <w:basedOn w:val="19"/>
    <w:link w:val="11"/>
    <w:qFormat/>
    <w:uiPriority w:val="0"/>
    <w:rPr>
      <w:rFonts w:ascii="Calibri" w:hAnsi="Calibri" w:cs="宋体"/>
      <w:kern w:val="2"/>
      <w:sz w:val="18"/>
      <w:szCs w:val="18"/>
    </w:rPr>
  </w:style>
  <w:style w:type="paragraph" w:customStyle="1" w:styleId="33">
    <w:name w:val="Other|1"/>
    <w:basedOn w:val="1"/>
    <w:qFormat/>
    <w:uiPriority w:val="0"/>
    <w:pPr>
      <w:jc w:val="center"/>
    </w:pPr>
    <w:rPr>
      <w:rFonts w:ascii="宋体" w:hAnsi="宋体" w:cs="宋体"/>
      <w:sz w:val="14"/>
      <w:szCs w:val="14"/>
      <w:lang w:val="zh-TW" w:eastAsia="zh-TW" w:bidi="zh-TW"/>
    </w:rPr>
  </w:style>
  <w:style w:type="paragraph" w:customStyle="1" w:styleId="34">
    <w:name w:val="Char"/>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35">
    <w:name w:val="List Paragraph1"/>
    <w:basedOn w:val="1"/>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36">
    <w:name w:val="font21"/>
    <w:basedOn w:val="19"/>
    <w:qFormat/>
    <w:uiPriority w:val="0"/>
    <w:rPr>
      <w:rFonts w:ascii="宋体" w:hAnsi="宋体" w:eastAsia="宋体" w:cs="宋体"/>
      <w:color w:val="000000"/>
      <w:sz w:val="18"/>
      <w:szCs w:val="18"/>
      <w:u w:val="none"/>
    </w:rPr>
  </w:style>
  <w:style w:type="character" w:customStyle="1" w:styleId="37">
    <w:name w:val="font41"/>
    <w:basedOn w:val="19"/>
    <w:qFormat/>
    <w:uiPriority w:val="0"/>
    <w:rPr>
      <w:rFonts w:hint="default" w:ascii="Times New Roman" w:hAnsi="Times New Roman" w:cs="Times New Roman"/>
      <w:color w:val="000000"/>
      <w:sz w:val="20"/>
      <w:szCs w:val="20"/>
      <w:u w:val="none"/>
    </w:rPr>
  </w:style>
  <w:style w:type="character" w:customStyle="1" w:styleId="38">
    <w:name w:val="font51"/>
    <w:basedOn w:val="19"/>
    <w:qFormat/>
    <w:uiPriority w:val="0"/>
    <w:rPr>
      <w:rFonts w:hint="eastAsia" w:ascii="宋体" w:hAnsi="宋体" w:eastAsia="宋体" w:cs="宋体"/>
      <w:color w:val="000000"/>
      <w:sz w:val="20"/>
      <w:szCs w:val="20"/>
      <w:u w:val="none"/>
      <w:vertAlign w:val="superscript"/>
    </w:rPr>
  </w:style>
  <w:style w:type="character" w:customStyle="1" w:styleId="39">
    <w:name w:val="font1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default" w:ascii="Times New Roman" w:hAnsi="Times New Roman" w:cs="Times New Roman"/>
      <w:color w:val="000000"/>
      <w:sz w:val="20"/>
      <w:szCs w:val="20"/>
      <w:u w:val="none"/>
      <w:vertAlign w:val="superscript"/>
    </w:rPr>
  </w:style>
  <w:style w:type="paragraph" w:customStyle="1" w:styleId="41">
    <w:name w:val="缺省文本"/>
    <w:basedOn w:val="1"/>
    <w:qFormat/>
    <w:uiPriority w:val="99"/>
    <w:pPr>
      <w:autoSpaceDE w:val="0"/>
      <w:autoSpaceDN w:val="0"/>
      <w:adjustRightInd w:val="0"/>
      <w:spacing w:line="360" w:lineRule="auto"/>
      <w:ind w:firstLine="480" w:firstLineChars="200"/>
    </w:pPr>
    <w:rPr>
      <w:rFonts w:ascii="宋体" w:hAnsi="宋体" w:cs="宋体"/>
      <w:kern w:val="0"/>
      <w:sz w:val="24"/>
    </w:rPr>
  </w:style>
  <w:style w:type="paragraph" w:customStyle="1" w:styleId="42">
    <w:name w:val="First Paragraph"/>
    <w:basedOn w:val="8"/>
    <w:next w:val="8"/>
    <w:qFormat/>
    <w:uiPriority w:val="0"/>
    <w:pPr>
      <w:ind w:firstLine="720" w:firstLineChars="200"/>
      <w:jc w:val="both"/>
    </w:pPr>
  </w:style>
  <w:style w:type="character" w:customStyle="1" w:styleId="43">
    <w:name w:val="标题1"/>
    <w:qFormat/>
    <w:uiPriority w:val="0"/>
  </w:style>
  <w:style w:type="paragraph" w:customStyle="1" w:styleId="44">
    <w:name w:val="null3"/>
    <w:qFormat/>
    <w:uiPriority w:val="0"/>
    <w:rPr>
      <w:rFonts w:hint="eastAsia" w:ascii="Calibri" w:hAnsi="Calibri" w:eastAsia="宋体" w:cs="Times New Roman"/>
      <w:lang w:val="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843d3-a3fa-4146-89b2-7b47abc37965}">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74</Pages>
  <Words>684</Words>
  <Characters>795</Characters>
  <Paragraphs>1594</Paragraphs>
  <TotalTime>2</TotalTime>
  <ScaleCrop>false</ScaleCrop>
  <LinksUpToDate>false</LinksUpToDate>
  <CharactersWithSpaces>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cp:lastModifiedBy>
  <cp:lastPrinted>2023-04-10T09:08:00Z</cp:lastPrinted>
  <dcterms:modified xsi:type="dcterms:W3CDTF">2025-09-30T08:35:57Z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C4189426F3314859A75F5CBB822C0E66_13</vt:lpwstr>
  </property>
  <property fmtid="{D5CDD505-2E9C-101B-9397-08002B2CF9AE}" pid="4" name="KSOTemplateDocerSaveRecord">
    <vt:lpwstr>eyJoZGlkIjoiNmM1MDBkMjlmY2UwNzIwYjliNzE3ZDM5ZDYxNGMzYjgiLCJ1c2VySWQiOiIzNTk2Mjk2NzAifQ==</vt:lpwstr>
  </property>
</Properties>
</file>