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auto"/>
          <w:highlight w:val="none"/>
        </w:rPr>
      </w:pPr>
    </w:p>
    <w:p w14:paraId="4C7F06E8">
      <w:pPr>
        <w:jc w:val="center"/>
        <w:rPr>
          <w:color w:val="auto"/>
          <w:highlight w:val="none"/>
        </w:rPr>
      </w:pPr>
    </w:p>
    <w:p w14:paraId="0E01EB31">
      <w:pPr>
        <w:jc w:val="center"/>
        <w:rPr>
          <w:color w:val="auto"/>
          <w:highlight w:val="none"/>
        </w:rPr>
      </w:pPr>
    </w:p>
    <w:p w14:paraId="4709E3CF">
      <w:pPr>
        <w:spacing w:beforeLines="50" w:afterLines="50"/>
        <w:jc w:val="center"/>
        <w:outlineLvl w:val="0"/>
        <w:rPr>
          <w:b/>
          <w:bCs/>
          <w:color w:val="auto"/>
          <w:sz w:val="52"/>
          <w:szCs w:val="72"/>
          <w:highlight w:val="none"/>
        </w:rPr>
      </w:pPr>
      <w:bookmarkStart w:id="0" w:name="_Toc7780"/>
      <w:bookmarkStart w:id="1" w:name="_Toc21704"/>
      <w:bookmarkStart w:id="2" w:name="_Toc7243"/>
      <w:r>
        <w:rPr>
          <w:rFonts w:hint="eastAsia"/>
          <w:b/>
          <w:bCs/>
          <w:color w:val="auto"/>
          <w:sz w:val="52"/>
          <w:szCs w:val="72"/>
          <w:highlight w:val="none"/>
        </w:rPr>
        <w:t>国内采购</w:t>
      </w:r>
      <w:bookmarkEnd w:id="0"/>
      <w:bookmarkEnd w:id="1"/>
      <w:bookmarkEnd w:id="2"/>
    </w:p>
    <w:p w14:paraId="02D80120">
      <w:pPr>
        <w:spacing w:beforeLines="50" w:afterLines="50"/>
        <w:jc w:val="center"/>
        <w:outlineLvl w:val="0"/>
        <w:rPr>
          <w:b/>
          <w:bCs/>
          <w:color w:val="auto"/>
          <w:sz w:val="52"/>
          <w:szCs w:val="72"/>
          <w:highlight w:val="none"/>
        </w:rPr>
      </w:pPr>
      <w:bookmarkStart w:id="3" w:name="_Toc14897"/>
      <w:bookmarkStart w:id="4" w:name="_Toc8734"/>
      <w:bookmarkStart w:id="5" w:name="_Toc9983"/>
      <w:r>
        <w:rPr>
          <w:rFonts w:hint="eastAsia"/>
          <w:b/>
          <w:bCs/>
          <w:color w:val="auto"/>
          <w:sz w:val="52"/>
          <w:szCs w:val="72"/>
          <w:highlight w:val="none"/>
        </w:rPr>
        <w:t>公开招标文件</w:t>
      </w:r>
      <w:bookmarkEnd w:id="3"/>
      <w:bookmarkEnd w:id="4"/>
      <w:bookmarkEnd w:id="5"/>
    </w:p>
    <w:p w14:paraId="703C73F3">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14:paraId="4CF1AC25">
      <w:pPr>
        <w:rPr>
          <w:color w:val="auto"/>
          <w:highlight w:val="none"/>
        </w:rPr>
      </w:pPr>
    </w:p>
    <w:p w14:paraId="731C1575">
      <w:pPr>
        <w:rPr>
          <w:color w:val="auto"/>
          <w:highlight w:val="none"/>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东莞市沙田镇第二幼儿园饭堂食材配送项目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GSDG2025-022C</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采购人</w:t>
            </w:r>
            <w:r>
              <w:rPr>
                <w:rFonts w:hint="eastAsia" w:ascii="黑体" w:hAnsi="黑体" w:eastAsia="黑体" w:cs="黑体"/>
                <w:color w:val="auto"/>
                <w:sz w:val="30"/>
                <w:szCs w:val="30"/>
                <w:highlight w:val="none"/>
              </w:rPr>
              <w:t>：</w:t>
            </w:r>
          </w:p>
        </w:tc>
        <w:tc>
          <w:tcPr>
            <w:tcW w:w="3583" w:type="pct"/>
            <w:tcBorders>
              <w:top w:val="nil"/>
              <w:left w:val="nil"/>
              <w:bottom w:val="nil"/>
              <w:right w:val="nil"/>
            </w:tcBorders>
            <w:vAlign w:val="center"/>
          </w:tcPr>
          <w:p w14:paraId="23362366">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东莞市沙田镇第二幼儿园</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采购代理机构</w:t>
            </w:r>
            <w:r>
              <w:rPr>
                <w:rFonts w:hint="eastAsia" w:ascii="黑体" w:hAnsi="黑体" w:eastAsia="黑体" w:cs="黑体"/>
                <w:color w:val="auto"/>
                <w:sz w:val="30"/>
                <w:szCs w:val="30"/>
                <w:highlight w:val="none"/>
              </w:rPr>
              <w:t>：</w:t>
            </w:r>
          </w:p>
        </w:tc>
        <w:tc>
          <w:tcPr>
            <w:tcW w:w="3583" w:type="pct"/>
            <w:tcBorders>
              <w:top w:val="nil"/>
              <w:left w:val="nil"/>
              <w:bottom w:val="nil"/>
              <w:right w:val="nil"/>
            </w:tcBorders>
            <w:vAlign w:val="center"/>
          </w:tcPr>
          <w:p w14:paraId="3F2430E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584DE208">
      <w:pPr>
        <w:rPr>
          <w:color w:val="auto"/>
          <w:highlight w:val="none"/>
        </w:rPr>
      </w:pPr>
    </w:p>
    <w:p w14:paraId="3678E241">
      <w:pPr>
        <w:jc w:val="center"/>
        <w:rPr>
          <w:color w:val="auto"/>
          <w:sz w:val="24"/>
          <w:szCs w:val="32"/>
          <w:highlight w:val="none"/>
        </w:rPr>
      </w:pPr>
    </w:p>
    <w:p w14:paraId="3B2F5D6D">
      <w:pPr>
        <w:jc w:val="center"/>
        <w:rPr>
          <w:color w:val="auto"/>
          <w:sz w:val="24"/>
          <w:szCs w:val="32"/>
          <w:highlight w:val="none"/>
        </w:rPr>
      </w:pPr>
    </w:p>
    <w:p w14:paraId="3993F0CE">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6" w:name="_Toc5265"/>
      <w:bookmarkStart w:id="7" w:name="_Toc19945"/>
      <w:bookmarkStart w:id="8" w:name="_Toc5502"/>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w:t>
      </w:r>
      <w:r>
        <w:rPr>
          <w:rFonts w:hint="eastAsia" w:ascii="黑体" w:hAnsi="黑体" w:eastAsia="黑体" w:cs="黑体"/>
          <w:color w:val="auto"/>
          <w:sz w:val="30"/>
          <w:szCs w:val="30"/>
          <w:highlight w:val="none"/>
        </w:rPr>
        <w:t>日</w:t>
      </w:r>
      <w:bookmarkEnd w:id="6"/>
      <w:bookmarkEnd w:id="7"/>
      <w:bookmarkEnd w:id="8"/>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84D0A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1"/>
              <w:szCs w:val="30"/>
              <w:highlight w:val="none"/>
              <w:lang w:val="en-US" w:eastAsia="zh-CN" w:bidi="ar-SA"/>
            </w:rPr>
          </w:pPr>
          <w:r>
            <w:rPr>
              <w:rFonts w:ascii="宋体" w:hAnsi="宋体"/>
              <w:b/>
              <w:bCs/>
              <w:color w:val="auto"/>
              <w:sz w:val="24"/>
              <w:szCs w:val="32"/>
              <w:highlight w:val="none"/>
            </w:rPr>
            <w:t>目录</w:t>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7C9E067F">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_Toc4270 </w:instrText>
          </w:r>
          <w:r>
            <w:rPr>
              <w:rFonts w:hint="eastAsia" w:ascii="黑体" w:hAnsi="黑体" w:eastAsia="黑体" w:cs="黑体"/>
              <w:color w:val="auto"/>
              <w:szCs w:val="30"/>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rPr>
            <w:fldChar w:fldCharType="end"/>
          </w:r>
        </w:p>
        <w:p w14:paraId="39B160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_Toc26902 </w:instrText>
          </w:r>
          <w:r>
            <w:rPr>
              <w:rFonts w:hint="eastAsia" w:ascii="黑体" w:hAnsi="黑体" w:eastAsia="黑体" w:cs="黑体"/>
              <w:color w:val="auto"/>
              <w:szCs w:val="30"/>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_Toc26902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rPr>
            <w:fldChar w:fldCharType="end"/>
          </w:r>
        </w:p>
        <w:p w14:paraId="4F6EF682">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_Toc9914 </w:instrText>
          </w:r>
          <w:r>
            <w:rPr>
              <w:rFonts w:hint="eastAsia" w:ascii="黑体" w:hAnsi="黑体" w:eastAsia="黑体" w:cs="黑体"/>
              <w:color w:val="auto"/>
              <w:szCs w:val="30"/>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_Toc9914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rPr>
            <w:fldChar w:fldCharType="end"/>
          </w:r>
        </w:p>
        <w:p w14:paraId="4D7E5BCC">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_Toc12160 </w:instrText>
          </w:r>
          <w:r>
            <w:rPr>
              <w:rFonts w:hint="eastAsia" w:ascii="黑体" w:hAnsi="黑体" w:eastAsia="黑体" w:cs="黑体"/>
              <w:color w:val="auto"/>
              <w:szCs w:val="30"/>
              <w:highlight w:val="none"/>
            </w:rPr>
            <w:fldChar w:fldCharType="separate"/>
          </w:r>
          <w:r>
            <w:rPr>
              <w:rFonts w:hint="eastAsia"/>
              <w:color w:val="auto"/>
              <w:highlight w:val="none"/>
            </w:rPr>
            <w:t>二、投标须知</w:t>
          </w:r>
          <w:r>
            <w:rPr>
              <w:color w:val="auto"/>
              <w:highlight w:val="none"/>
            </w:rPr>
            <w:tab/>
          </w:r>
          <w:r>
            <w:rPr>
              <w:color w:val="auto"/>
              <w:highlight w:val="none"/>
            </w:rPr>
            <w:fldChar w:fldCharType="begin"/>
          </w:r>
          <w:r>
            <w:rPr>
              <w:color w:val="auto"/>
              <w:highlight w:val="none"/>
            </w:rPr>
            <w:instrText xml:space="preserve"> PAGEREF _Toc12160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2044F8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_Toc16746 </w:instrText>
          </w:r>
          <w:r>
            <w:rPr>
              <w:rFonts w:hint="eastAsia" w:ascii="黑体" w:hAnsi="黑体" w:eastAsia="黑体" w:cs="黑体"/>
              <w:color w:val="auto"/>
              <w:szCs w:val="30"/>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_Toc16746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7DF08C2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_Toc29518 </w:instrText>
          </w:r>
          <w:r>
            <w:rPr>
              <w:rFonts w:hint="eastAsia" w:ascii="黑体" w:hAnsi="黑体" w:eastAsia="黑体" w:cs="黑体"/>
              <w:color w:val="auto"/>
              <w:szCs w:val="30"/>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_Toc29518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53C8E0E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_Toc28656 </w:instrText>
          </w:r>
          <w:r>
            <w:rPr>
              <w:rFonts w:hint="eastAsia" w:ascii="黑体" w:hAnsi="黑体" w:eastAsia="黑体" w:cs="黑体"/>
              <w:color w:val="auto"/>
              <w:szCs w:val="30"/>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_Toc28656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4E13AB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_Toc10127 </w:instrText>
          </w:r>
          <w:r>
            <w:rPr>
              <w:rFonts w:hint="eastAsia" w:ascii="黑体" w:hAnsi="黑体" w:eastAsia="黑体" w:cs="黑体"/>
              <w:color w:val="auto"/>
              <w:szCs w:val="30"/>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_Toc10127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51613FC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_Toc2770 </w:instrText>
          </w:r>
          <w:r>
            <w:rPr>
              <w:rFonts w:hint="eastAsia" w:ascii="黑体" w:hAnsi="黑体" w:eastAsia="黑体" w:cs="黑体"/>
              <w:color w:val="auto"/>
              <w:szCs w:val="30"/>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_Toc2770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60D4B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_Toc19092 </w:instrText>
          </w:r>
          <w:r>
            <w:rPr>
              <w:rFonts w:hint="eastAsia" w:ascii="黑体" w:hAnsi="黑体" w:eastAsia="黑体" w:cs="黑体"/>
              <w:color w:val="auto"/>
              <w:szCs w:val="30"/>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_Toc19092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rPr>
            <w:fldChar w:fldCharType="end"/>
          </w:r>
        </w:p>
        <w:p w14:paraId="0452595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_Toc30426 </w:instrText>
          </w:r>
          <w:r>
            <w:rPr>
              <w:rFonts w:hint="eastAsia" w:ascii="黑体" w:hAnsi="黑体" w:eastAsia="黑体" w:cs="黑体"/>
              <w:color w:val="auto"/>
              <w:szCs w:val="30"/>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_Toc30426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569525D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_Toc30423 </w:instrText>
          </w:r>
          <w:r>
            <w:rPr>
              <w:rFonts w:hint="eastAsia" w:ascii="黑体" w:hAnsi="黑体" w:eastAsia="黑体" w:cs="黑体"/>
              <w:color w:val="auto"/>
              <w:szCs w:val="30"/>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_Toc30423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182E4F8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_Toc21026 </w:instrText>
          </w:r>
          <w:r>
            <w:rPr>
              <w:rFonts w:hint="eastAsia" w:ascii="黑体" w:hAnsi="黑体" w:eastAsia="黑体" w:cs="黑体"/>
              <w:color w:val="auto"/>
              <w:szCs w:val="30"/>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_Toc21026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33CC7E69">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_Toc12645 </w:instrText>
          </w:r>
          <w:r>
            <w:rPr>
              <w:rFonts w:hint="eastAsia" w:ascii="黑体" w:hAnsi="黑体" w:eastAsia="黑体" w:cs="黑体"/>
              <w:color w:val="auto"/>
              <w:szCs w:val="30"/>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_Toc12645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2C80833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_Toc30560 </w:instrText>
          </w:r>
          <w:r>
            <w:rPr>
              <w:rFonts w:hint="eastAsia" w:ascii="黑体" w:hAnsi="黑体" w:eastAsia="黑体" w:cs="黑体"/>
              <w:color w:val="auto"/>
              <w:szCs w:val="30"/>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_Toc30560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57094AE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_Toc5268 </w:instrText>
          </w:r>
          <w:r>
            <w:rPr>
              <w:rFonts w:hint="eastAsia" w:ascii="黑体" w:hAnsi="黑体" w:eastAsia="黑体" w:cs="黑体"/>
              <w:color w:val="auto"/>
              <w:szCs w:val="30"/>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37F087B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_Toc24635 </w:instrText>
          </w:r>
          <w:r>
            <w:rPr>
              <w:rFonts w:hint="eastAsia" w:ascii="黑体" w:hAnsi="黑体" w:eastAsia="黑体" w:cs="黑体"/>
              <w:color w:val="auto"/>
              <w:szCs w:val="30"/>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_Toc24635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09B9B6E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_Toc367 </w:instrText>
          </w:r>
          <w:r>
            <w:rPr>
              <w:rFonts w:hint="eastAsia" w:ascii="黑体" w:hAnsi="黑体" w:eastAsia="黑体" w:cs="黑体"/>
              <w:color w:val="auto"/>
              <w:szCs w:val="30"/>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_Toc367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6982E7B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_Toc1930 </w:instrText>
          </w:r>
          <w:r>
            <w:rPr>
              <w:rFonts w:hint="eastAsia" w:ascii="黑体" w:hAnsi="黑体" w:eastAsia="黑体" w:cs="黑体"/>
              <w:color w:val="auto"/>
              <w:szCs w:val="30"/>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_Toc1930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67FAA08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_Toc5503 </w:instrText>
          </w:r>
          <w:r>
            <w:rPr>
              <w:rFonts w:hint="eastAsia" w:ascii="黑体" w:hAnsi="黑体" w:eastAsia="黑体" w:cs="黑体"/>
              <w:color w:val="auto"/>
              <w:szCs w:val="30"/>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_Toc5503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006F257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_Toc12926 </w:instrText>
          </w:r>
          <w:r>
            <w:rPr>
              <w:rFonts w:hint="eastAsia" w:ascii="黑体" w:hAnsi="黑体" w:eastAsia="黑体" w:cs="黑体"/>
              <w:color w:val="auto"/>
              <w:szCs w:val="30"/>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_Toc12926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250B010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_Toc20440 </w:instrText>
          </w:r>
          <w:r>
            <w:rPr>
              <w:rFonts w:hint="eastAsia" w:ascii="黑体" w:hAnsi="黑体" w:eastAsia="黑体" w:cs="黑体"/>
              <w:color w:val="auto"/>
              <w:szCs w:val="30"/>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_Toc20440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rPr>
            <w:fldChar w:fldCharType="end"/>
          </w:r>
        </w:p>
        <w:p w14:paraId="112F1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_Toc32756 </w:instrText>
          </w:r>
          <w:r>
            <w:rPr>
              <w:rFonts w:hint="eastAsia" w:ascii="黑体" w:hAnsi="黑体" w:eastAsia="黑体" w:cs="黑体"/>
              <w:color w:val="auto"/>
              <w:szCs w:val="30"/>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rPr>
            <w:fldChar w:fldCharType="end"/>
          </w:r>
        </w:p>
        <w:p w14:paraId="3448D58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_Toc26517 </w:instrText>
          </w:r>
          <w:r>
            <w:rPr>
              <w:rFonts w:hint="eastAsia" w:ascii="黑体" w:hAnsi="黑体" w:eastAsia="黑体" w:cs="黑体"/>
              <w:color w:val="auto"/>
              <w:szCs w:val="30"/>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_Toc26517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rPr>
            <w:fldChar w:fldCharType="end"/>
          </w:r>
        </w:p>
        <w:p w14:paraId="756A3A4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_Toc22407 </w:instrText>
          </w:r>
          <w:r>
            <w:rPr>
              <w:rFonts w:hint="eastAsia" w:ascii="黑体" w:hAnsi="黑体" w:eastAsia="黑体" w:cs="黑体"/>
              <w:color w:val="auto"/>
              <w:szCs w:val="30"/>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_Toc22407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rPr>
            <w:fldChar w:fldCharType="end"/>
          </w:r>
        </w:p>
        <w:p w14:paraId="382ED40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_Toc10020 </w:instrText>
          </w:r>
          <w:r>
            <w:rPr>
              <w:rFonts w:hint="eastAsia" w:ascii="黑体" w:hAnsi="黑体" w:eastAsia="黑体" w:cs="黑体"/>
              <w:color w:val="auto"/>
              <w:szCs w:val="30"/>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_Toc10020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rPr>
            <w:fldChar w:fldCharType="end"/>
          </w:r>
        </w:p>
        <w:p w14:paraId="4ABE8CE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_Toc24097 </w:instrText>
          </w:r>
          <w:r>
            <w:rPr>
              <w:rFonts w:hint="eastAsia" w:ascii="黑体" w:hAnsi="黑体" w:eastAsia="黑体" w:cs="黑体"/>
              <w:color w:val="auto"/>
              <w:szCs w:val="30"/>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_Toc24097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37B35B4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_Toc31513 </w:instrText>
          </w:r>
          <w:r>
            <w:rPr>
              <w:rFonts w:hint="eastAsia" w:ascii="黑体" w:hAnsi="黑体" w:eastAsia="黑体" w:cs="黑体"/>
              <w:color w:val="auto"/>
              <w:szCs w:val="30"/>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_Toc31513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0A98B3A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_Toc1047 </w:instrText>
          </w:r>
          <w:r>
            <w:rPr>
              <w:rFonts w:hint="eastAsia" w:ascii="黑体" w:hAnsi="黑体" w:eastAsia="黑体" w:cs="黑体"/>
              <w:color w:val="auto"/>
              <w:szCs w:val="30"/>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_Toc1047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rPr>
            <w:fldChar w:fldCharType="end"/>
          </w:r>
        </w:p>
        <w:p w14:paraId="067C256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_Toc8465 </w:instrText>
          </w:r>
          <w:r>
            <w:rPr>
              <w:rFonts w:hint="eastAsia" w:ascii="黑体" w:hAnsi="黑体" w:eastAsia="黑体" w:cs="黑体"/>
              <w:color w:val="auto"/>
              <w:szCs w:val="30"/>
              <w:highlight w:val="none"/>
            </w:rPr>
            <w:fldChar w:fldCharType="separate"/>
          </w:r>
          <w:r>
            <w:rPr>
              <w:rFonts w:hint="eastAsia"/>
              <w:color w:val="auto"/>
              <w:highlight w:val="none"/>
            </w:rPr>
            <w:t>2</w:t>
          </w:r>
          <w:r>
            <w:rPr>
              <w:rFonts w:hint="eastAsia"/>
              <w:color w:val="auto"/>
              <w:highlight w:val="none"/>
              <w:lang w:val="en-US" w:eastAsia="zh-CN"/>
            </w:rPr>
            <w:t>7</w:t>
          </w:r>
          <w:r>
            <w:rPr>
              <w:rFonts w:hint="eastAsia"/>
              <w:color w:val="auto"/>
              <w:highlight w:val="none"/>
            </w:rPr>
            <w:t>.纪律和保密事项</w:t>
          </w:r>
          <w:r>
            <w:rPr>
              <w:color w:val="auto"/>
              <w:highlight w:val="none"/>
            </w:rPr>
            <w:tab/>
          </w:r>
          <w:r>
            <w:rPr>
              <w:color w:val="auto"/>
              <w:highlight w:val="none"/>
            </w:rPr>
            <w:fldChar w:fldCharType="begin"/>
          </w:r>
          <w:r>
            <w:rPr>
              <w:color w:val="auto"/>
              <w:highlight w:val="none"/>
            </w:rPr>
            <w:instrText xml:space="preserve"> PAGEREF _Toc8465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rPr>
            <w:fldChar w:fldCharType="end"/>
          </w:r>
        </w:p>
        <w:p w14:paraId="629C844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_Toc31964 </w:instrText>
          </w:r>
          <w:r>
            <w:rPr>
              <w:rFonts w:hint="eastAsia" w:ascii="黑体" w:hAnsi="黑体" w:eastAsia="黑体" w:cs="黑体"/>
              <w:color w:val="auto"/>
              <w:szCs w:val="30"/>
              <w:highlight w:val="none"/>
            </w:rPr>
            <w:fldChar w:fldCharType="separate"/>
          </w:r>
          <w:r>
            <w:rPr>
              <w:rFonts w:hint="eastAsia"/>
              <w:color w:val="auto"/>
              <w:highlight w:val="none"/>
            </w:rPr>
            <w:t>2</w:t>
          </w:r>
          <w:r>
            <w:rPr>
              <w:rFonts w:hint="eastAsia"/>
              <w:color w:val="auto"/>
              <w:highlight w:val="none"/>
              <w:lang w:val="en-US" w:eastAsia="zh-CN"/>
            </w:rPr>
            <w:t>8</w:t>
          </w:r>
          <w:r>
            <w:rPr>
              <w:rFonts w:hint="eastAsia"/>
              <w:color w:val="auto"/>
              <w:highlight w:val="none"/>
            </w:rPr>
            <w:t>.合同授予标准</w:t>
          </w:r>
          <w:r>
            <w:rPr>
              <w:color w:val="auto"/>
              <w:highlight w:val="none"/>
            </w:rPr>
            <w:tab/>
          </w:r>
          <w:r>
            <w:rPr>
              <w:color w:val="auto"/>
              <w:highlight w:val="none"/>
            </w:rPr>
            <w:fldChar w:fldCharType="begin"/>
          </w:r>
          <w:r>
            <w:rPr>
              <w:color w:val="auto"/>
              <w:highlight w:val="none"/>
            </w:rPr>
            <w:instrText xml:space="preserve"> PAGEREF _Toc31964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rPr>
            <w:fldChar w:fldCharType="end"/>
          </w:r>
        </w:p>
        <w:p w14:paraId="61E034F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_Toc29777 </w:instrText>
          </w:r>
          <w:r>
            <w:rPr>
              <w:rFonts w:hint="eastAsia" w:ascii="黑体" w:hAnsi="黑体" w:eastAsia="黑体" w:cs="黑体"/>
              <w:color w:val="auto"/>
              <w:szCs w:val="30"/>
              <w:highlight w:val="none"/>
            </w:rPr>
            <w:fldChar w:fldCharType="separate"/>
          </w:r>
          <w:r>
            <w:rPr>
              <w:rFonts w:hint="eastAsia" w:eastAsia="黑体"/>
              <w:color w:val="auto"/>
              <w:highlight w:val="none"/>
              <w:lang w:val="en-US" w:eastAsia="zh-CN"/>
            </w:rPr>
            <w:t>29</w:t>
          </w:r>
          <w:r>
            <w:rPr>
              <w:rFonts w:hint="eastAsia"/>
              <w:color w:val="auto"/>
              <w:highlight w:val="none"/>
            </w:rPr>
            <w:t>.发布采购结果</w:t>
          </w:r>
          <w:r>
            <w:rPr>
              <w:color w:val="auto"/>
              <w:highlight w:val="none"/>
            </w:rPr>
            <w:tab/>
          </w:r>
          <w:r>
            <w:rPr>
              <w:color w:val="auto"/>
              <w:highlight w:val="none"/>
            </w:rPr>
            <w:fldChar w:fldCharType="begin"/>
          </w:r>
          <w:r>
            <w:rPr>
              <w:color w:val="auto"/>
              <w:highlight w:val="none"/>
            </w:rPr>
            <w:instrText xml:space="preserve"> PAGEREF _Toc29777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rPr>
            <w:fldChar w:fldCharType="end"/>
          </w:r>
        </w:p>
        <w:p w14:paraId="3FAC38C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_Toc26465 </w:instrText>
          </w:r>
          <w:r>
            <w:rPr>
              <w:rFonts w:hint="eastAsia" w:ascii="黑体" w:hAnsi="黑体" w:eastAsia="黑体" w:cs="黑体"/>
              <w:color w:val="auto"/>
              <w:szCs w:val="30"/>
              <w:highlight w:val="none"/>
            </w:rPr>
            <w:fldChar w:fldCharType="separate"/>
          </w:r>
          <w:r>
            <w:rPr>
              <w:rFonts w:hint="eastAsia"/>
              <w:color w:val="auto"/>
              <w:highlight w:val="none"/>
            </w:rPr>
            <w:t>3</w:t>
          </w:r>
          <w:r>
            <w:rPr>
              <w:rFonts w:hint="eastAsia"/>
              <w:color w:val="auto"/>
              <w:highlight w:val="none"/>
              <w:lang w:val="en-US" w:eastAsia="zh-CN"/>
            </w:rPr>
            <w:t>0</w:t>
          </w:r>
          <w:r>
            <w:rPr>
              <w:rFonts w:hint="eastAsia"/>
              <w:color w:val="auto"/>
              <w:highlight w:val="none"/>
            </w:rPr>
            <w:t>.合同的签订与履行</w:t>
          </w:r>
          <w:r>
            <w:rPr>
              <w:color w:val="auto"/>
              <w:highlight w:val="none"/>
            </w:rPr>
            <w:tab/>
          </w:r>
          <w:r>
            <w:rPr>
              <w:color w:val="auto"/>
              <w:highlight w:val="none"/>
            </w:rPr>
            <w:fldChar w:fldCharType="begin"/>
          </w:r>
          <w:r>
            <w:rPr>
              <w:color w:val="auto"/>
              <w:highlight w:val="none"/>
            </w:rPr>
            <w:instrText xml:space="preserve"> PAGEREF _Toc26465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47C6C54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_Toc21526 </w:instrText>
          </w:r>
          <w:r>
            <w:rPr>
              <w:rFonts w:hint="eastAsia" w:ascii="黑体" w:hAnsi="黑体" w:eastAsia="黑体" w:cs="黑体"/>
              <w:color w:val="auto"/>
              <w:szCs w:val="30"/>
              <w:highlight w:val="none"/>
            </w:rPr>
            <w:fldChar w:fldCharType="separate"/>
          </w:r>
          <w:r>
            <w:rPr>
              <w:rFonts w:hint="eastAsia"/>
              <w:color w:val="auto"/>
              <w:highlight w:val="none"/>
            </w:rPr>
            <w:t>3</w:t>
          </w:r>
          <w:r>
            <w:rPr>
              <w:rFonts w:hint="eastAsia"/>
              <w:color w:val="auto"/>
              <w:highlight w:val="none"/>
              <w:lang w:val="en-US" w:eastAsia="zh-CN"/>
            </w:rPr>
            <w:t>1</w:t>
          </w:r>
          <w:r>
            <w:rPr>
              <w:rFonts w:hint="eastAsia"/>
              <w:color w:val="auto"/>
              <w:highlight w:val="none"/>
            </w:rPr>
            <w:t>.招标文件的解释权</w:t>
          </w:r>
          <w:r>
            <w:rPr>
              <w:color w:val="auto"/>
              <w:highlight w:val="none"/>
            </w:rPr>
            <w:tab/>
          </w:r>
          <w:r>
            <w:rPr>
              <w:color w:val="auto"/>
              <w:highlight w:val="none"/>
            </w:rPr>
            <w:fldChar w:fldCharType="begin"/>
          </w:r>
          <w:r>
            <w:rPr>
              <w:color w:val="auto"/>
              <w:highlight w:val="none"/>
            </w:rPr>
            <w:instrText xml:space="preserve"> PAGEREF _Toc21526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75C7830B">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_Toc1468 </w:instrText>
          </w:r>
          <w:r>
            <w:rPr>
              <w:rFonts w:hint="eastAsia" w:ascii="黑体" w:hAnsi="黑体" w:eastAsia="黑体" w:cs="黑体"/>
              <w:color w:val="auto"/>
              <w:szCs w:val="30"/>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_Toc1468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rPr>
            <w:fldChar w:fldCharType="end"/>
          </w:r>
        </w:p>
        <w:p w14:paraId="6E52C3E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_Toc22191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第四篇 详细评审</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_Toc22191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31</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780059B3">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_Toc15331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第五篇 合同文本参考格式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_Toc15331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34</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52DBE3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_Toc25451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第六篇 投标文件格式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_Toc25451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46</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4E823FD8">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_Toc17641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第七篇 开标文件格式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_Toc17641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69</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0EB37C1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_Toc25636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第八篇 其它文件格式（如有需要）</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_Toc25636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71</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14A84513">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0CAF8086">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DED68F8">
      <w:pPr>
        <w:pStyle w:val="3"/>
        <w:numPr>
          <w:ilvl w:val="0"/>
          <w:numId w:val="1"/>
        </w:numPr>
        <w:rPr>
          <w:color w:val="auto"/>
          <w:highlight w:val="none"/>
        </w:rPr>
      </w:pPr>
      <w:bookmarkStart w:id="9" w:name="_Toc4270"/>
      <w:r>
        <w:rPr>
          <w:rFonts w:hint="eastAsia"/>
          <w:color w:val="auto"/>
          <w:highlight w:val="none"/>
        </w:rPr>
        <w:t>投标邀请</w:t>
      </w:r>
      <w:bookmarkEnd w:id="9"/>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东莞市沙田镇第二幼儿园饭堂食材配送项目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3980447D">
      <w:pPr>
        <w:spacing w:line="360" w:lineRule="auto"/>
        <w:rPr>
          <w:rFonts w:ascii="宋体" w:hAnsi="宋体" w:cs="宋体"/>
          <w:color w:val="auto"/>
          <w:szCs w:val="21"/>
          <w:highlight w:val="none"/>
        </w:rPr>
      </w:pPr>
    </w:p>
    <w:p w14:paraId="564C5834">
      <w:pPr>
        <w:pStyle w:val="4"/>
        <w:spacing w:line="360" w:lineRule="auto"/>
        <w:jc w:val="left"/>
        <w:rPr>
          <w:rFonts w:ascii="宋体" w:hAnsi="宋体" w:cs="宋体"/>
          <w:bCs/>
          <w:color w:val="auto"/>
          <w:sz w:val="21"/>
          <w:szCs w:val="21"/>
          <w:highlight w:val="none"/>
        </w:rPr>
      </w:pPr>
      <w:bookmarkStart w:id="10" w:name="_Toc28359079"/>
      <w:bookmarkStart w:id="11" w:name="_Toc10439"/>
      <w:bookmarkStart w:id="12" w:name="_Toc2169"/>
      <w:bookmarkStart w:id="13" w:name="_Toc28359002"/>
      <w:bookmarkStart w:id="14" w:name="_Toc35393621"/>
      <w:bookmarkStart w:id="15" w:name="_Toc15540"/>
      <w:bookmarkStart w:id="16" w:name="_Toc35393790"/>
      <w:bookmarkStart w:id="17" w:name="_Hlk24379207"/>
      <w:r>
        <w:rPr>
          <w:rFonts w:hint="eastAsia" w:ascii="宋体" w:hAnsi="宋体" w:cs="宋体"/>
          <w:bCs/>
          <w:color w:val="auto"/>
          <w:sz w:val="21"/>
          <w:szCs w:val="21"/>
          <w:highlight w:val="none"/>
        </w:rPr>
        <w:t>一、项目基本情况</w:t>
      </w:r>
      <w:bookmarkEnd w:id="10"/>
      <w:bookmarkEnd w:id="11"/>
      <w:bookmarkEnd w:id="12"/>
      <w:bookmarkEnd w:id="13"/>
      <w:bookmarkEnd w:id="14"/>
      <w:bookmarkEnd w:id="15"/>
      <w:bookmarkEnd w:id="16"/>
    </w:p>
    <w:p w14:paraId="2D35A3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GSDG2025-022C</w:t>
      </w:r>
    </w:p>
    <w:p w14:paraId="504FC5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东莞市沙田镇第二幼儿园饭堂食材配送项目</w:t>
      </w:r>
    </w:p>
    <w:bookmarkEnd w:id="17"/>
    <w:p w14:paraId="1112C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4CD9A784">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717"/>
        <w:gridCol w:w="2972"/>
      </w:tblGrid>
      <w:tr w14:paraId="111E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87" w:type="pct"/>
            <w:vAlign w:val="center"/>
          </w:tcPr>
          <w:p w14:paraId="5BEF461F">
            <w:pPr>
              <w:spacing w:line="360" w:lineRule="auto"/>
              <w:jc w:val="center"/>
              <w:rPr>
                <w:rFonts w:hAnsi="宋体"/>
                <w:color w:val="auto"/>
                <w:szCs w:val="21"/>
                <w:highlight w:val="none"/>
              </w:rPr>
            </w:pPr>
            <w:r>
              <w:rPr>
                <w:rFonts w:hint="eastAsia" w:hAnsi="宋体"/>
                <w:color w:val="auto"/>
                <w:szCs w:val="21"/>
                <w:highlight w:val="none"/>
              </w:rPr>
              <w:t>包号</w:t>
            </w:r>
          </w:p>
        </w:tc>
        <w:tc>
          <w:tcPr>
            <w:tcW w:w="2768" w:type="pct"/>
            <w:vAlign w:val="center"/>
          </w:tcPr>
          <w:p w14:paraId="7BDA8526">
            <w:pPr>
              <w:spacing w:line="360" w:lineRule="auto"/>
              <w:jc w:val="center"/>
              <w:rPr>
                <w:rFonts w:hint="default" w:hAnsi="宋体" w:eastAsia="宋体"/>
                <w:color w:val="auto"/>
                <w:szCs w:val="21"/>
                <w:highlight w:val="none"/>
                <w:lang w:val="en-US" w:eastAsia="zh-CN"/>
              </w:rPr>
            </w:pPr>
            <w:r>
              <w:rPr>
                <w:rFonts w:hint="eastAsia" w:hAnsi="宋体"/>
                <w:b/>
                <w:color w:val="auto"/>
                <w:szCs w:val="21"/>
                <w:highlight w:val="none"/>
              </w:rPr>
              <w:t>项目内容</w:t>
            </w:r>
          </w:p>
        </w:tc>
        <w:tc>
          <w:tcPr>
            <w:tcW w:w="1744" w:type="pct"/>
            <w:vAlign w:val="center"/>
          </w:tcPr>
          <w:p w14:paraId="0512F80B">
            <w:pPr>
              <w:spacing w:line="360" w:lineRule="auto"/>
              <w:jc w:val="center"/>
              <w:rPr>
                <w:rFonts w:hint="eastAsia" w:hAnsi="宋体" w:eastAsia="宋体"/>
                <w:b/>
                <w:color w:val="auto"/>
                <w:szCs w:val="21"/>
                <w:highlight w:val="none"/>
                <w:lang w:val="en-US" w:eastAsia="zh-CN"/>
              </w:rPr>
            </w:pPr>
            <w:r>
              <w:rPr>
                <w:rFonts w:hint="eastAsia" w:hAnsi="宋体"/>
                <w:b/>
                <w:color w:val="auto"/>
                <w:szCs w:val="21"/>
                <w:highlight w:val="none"/>
                <w:lang w:val="en-US" w:eastAsia="zh-CN"/>
              </w:rPr>
              <w:t>服务期</w:t>
            </w:r>
          </w:p>
        </w:tc>
      </w:tr>
      <w:tr w14:paraId="4A4C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87" w:type="pct"/>
            <w:vAlign w:val="center"/>
          </w:tcPr>
          <w:p w14:paraId="38796022">
            <w:pPr>
              <w:spacing w:line="360" w:lineRule="auto"/>
              <w:jc w:val="center"/>
              <w:rPr>
                <w:rFonts w:hAnsi="宋体"/>
                <w:color w:val="auto"/>
                <w:szCs w:val="21"/>
                <w:highlight w:val="none"/>
              </w:rPr>
            </w:pPr>
            <w:r>
              <w:rPr>
                <w:rFonts w:hint="eastAsia" w:hAnsi="宋体"/>
                <w:color w:val="auto"/>
                <w:szCs w:val="21"/>
                <w:highlight w:val="none"/>
              </w:rPr>
              <w:t>包A</w:t>
            </w:r>
          </w:p>
        </w:tc>
        <w:tc>
          <w:tcPr>
            <w:tcW w:w="2768" w:type="pct"/>
            <w:vAlign w:val="center"/>
          </w:tcPr>
          <w:p w14:paraId="28D11007">
            <w:pPr>
              <w:spacing w:line="360" w:lineRule="auto"/>
              <w:jc w:val="center"/>
              <w:rPr>
                <w:rFonts w:hint="default" w:hAnsi="宋体"/>
                <w:color w:val="auto"/>
                <w:szCs w:val="21"/>
                <w:highlight w:val="none"/>
                <w:lang w:val="en-US"/>
              </w:rPr>
            </w:pPr>
            <w:r>
              <w:rPr>
                <w:rFonts w:hint="eastAsia" w:ascii="宋体" w:hAnsi="宋体" w:cs="宋体"/>
                <w:color w:val="auto"/>
                <w:szCs w:val="21"/>
                <w:highlight w:val="none"/>
                <w:lang w:eastAsia="zh-CN"/>
              </w:rPr>
              <w:t>东莞市沙田镇第二幼儿园饭堂食材配送项目</w:t>
            </w:r>
          </w:p>
        </w:tc>
        <w:tc>
          <w:tcPr>
            <w:tcW w:w="1744" w:type="pct"/>
            <w:vAlign w:val="center"/>
          </w:tcPr>
          <w:p w14:paraId="1ED2AF86">
            <w:pPr>
              <w:spacing w:line="360" w:lineRule="auto"/>
              <w:jc w:val="center"/>
              <w:rPr>
                <w:rFonts w:hint="default"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服务期为</w:t>
            </w:r>
            <w:r>
              <w:rPr>
                <w:rFonts w:hint="eastAsia" w:ascii="宋体" w:hAnsi="宋体" w:eastAsia="宋体" w:cs="宋体"/>
                <w:color w:val="auto"/>
                <w:sz w:val="21"/>
                <w:szCs w:val="21"/>
                <w:highlight w:val="none"/>
                <w:lang w:eastAsia="zh-CN"/>
              </w:rPr>
              <w:t>三年。</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665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1AEEC18F">
      <w:pPr>
        <w:pStyle w:val="4"/>
        <w:spacing w:line="360" w:lineRule="auto"/>
        <w:jc w:val="left"/>
        <w:rPr>
          <w:rFonts w:ascii="宋体" w:hAnsi="宋体" w:cs="宋体"/>
          <w:b w:val="0"/>
          <w:color w:val="auto"/>
          <w:sz w:val="21"/>
          <w:szCs w:val="21"/>
          <w:highlight w:val="none"/>
        </w:rPr>
      </w:pPr>
      <w:bookmarkStart w:id="18" w:name="_Toc35393791"/>
      <w:bookmarkStart w:id="19" w:name="_Toc25198"/>
      <w:bookmarkStart w:id="20" w:name="_Toc28359080"/>
      <w:bookmarkStart w:id="21" w:name="_Toc35393622"/>
      <w:bookmarkStart w:id="22" w:name="_Toc19620"/>
      <w:bookmarkStart w:id="23" w:name="_Toc28359003"/>
      <w:bookmarkStart w:id="24" w:name="_Toc28849"/>
      <w:r>
        <w:rPr>
          <w:rFonts w:hint="eastAsia" w:ascii="宋体" w:hAnsi="宋体" w:cs="宋体"/>
          <w:bCs/>
          <w:color w:val="auto"/>
          <w:sz w:val="21"/>
          <w:szCs w:val="21"/>
          <w:highlight w:val="none"/>
        </w:rPr>
        <w:t>二、申请人的资格要求：</w:t>
      </w:r>
      <w:bookmarkEnd w:id="18"/>
      <w:bookmarkEnd w:id="19"/>
      <w:bookmarkEnd w:id="20"/>
      <w:bookmarkEnd w:id="21"/>
      <w:bookmarkEnd w:id="22"/>
      <w:bookmarkEnd w:id="23"/>
      <w:bookmarkEnd w:id="24"/>
    </w:p>
    <w:p w14:paraId="54CB1F71">
      <w:pPr>
        <w:widowControl/>
        <w:spacing w:line="360" w:lineRule="auto"/>
        <w:ind w:firstLine="420" w:firstLineChars="200"/>
        <w:outlineLvl w:val="2"/>
        <w:rPr>
          <w:rFonts w:ascii="宋体" w:hAnsi="宋体"/>
          <w:color w:val="auto"/>
          <w:szCs w:val="21"/>
          <w:highlight w:val="none"/>
        </w:rPr>
      </w:pPr>
      <w:bookmarkStart w:id="25" w:name="_Toc8392"/>
      <w:bookmarkStart w:id="26" w:name="_Toc13428"/>
      <w:bookmarkStart w:id="27" w:name="_Toc16211"/>
      <w:bookmarkStart w:id="28" w:name="_Toc28359004"/>
      <w:bookmarkStart w:id="29"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25"/>
      <w:bookmarkEnd w:id="26"/>
      <w:bookmarkEnd w:id="27"/>
    </w:p>
    <w:p w14:paraId="723A31E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C8A39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15A85F6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3795992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032182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www.ccgp.gov.cn)“政府采购严重违法失信行为信息记录”中的禁止参加政府采购活动期间。（以</w:t>
      </w:r>
      <w:r>
        <w:rPr>
          <w:rFonts w:hint="eastAsia" w:ascii="宋体" w:hAnsi="宋体"/>
          <w:color w:val="auto"/>
          <w:szCs w:val="21"/>
          <w:highlight w:val="none"/>
          <w:lang w:eastAsia="zh-CN"/>
        </w:rPr>
        <w:t>采购代理机构</w:t>
      </w:r>
      <w:r>
        <w:rPr>
          <w:rFonts w:hint="eastAsia" w:ascii="宋体" w:hAnsi="宋体"/>
          <w:color w:val="auto"/>
          <w:szCs w:val="21"/>
          <w:highlight w:val="none"/>
        </w:rPr>
        <w:t>于投标截止时间当天在“信用中国”网站（www.creditchina.gov.cn）及中国政府采购网（http</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3F2B0AA4">
      <w:pPr>
        <w:widowControl/>
        <w:spacing w:line="360" w:lineRule="auto"/>
        <w:ind w:firstLine="420" w:firstLineChars="200"/>
        <w:rPr>
          <w:rFonts w:hint="eastAsia" w:ascii="宋体" w:hAnsi="宋体" w:eastAsia="宋体"/>
          <w:color w:val="auto"/>
          <w:szCs w:val="21"/>
          <w:highlight w:val="none"/>
          <w:lang w:eastAsia="zh-CN"/>
        </w:rPr>
      </w:pPr>
      <w:bookmarkStart w:id="30" w:name="_Toc26119"/>
      <w:r>
        <w:rPr>
          <w:rFonts w:hint="eastAsia" w:ascii="宋体" w:hAnsi="宋体"/>
          <w:color w:val="auto"/>
          <w:szCs w:val="21"/>
          <w:highlight w:val="none"/>
          <w:lang w:val="en-US" w:eastAsia="zh-CN"/>
        </w:rPr>
        <w:t>2.</w:t>
      </w:r>
      <w:r>
        <w:rPr>
          <w:rFonts w:hint="eastAsia" w:ascii="宋体" w:hAnsi="宋体"/>
          <w:color w:val="auto"/>
          <w:szCs w:val="21"/>
          <w:highlight w:val="none"/>
        </w:rPr>
        <w:t>本项目的特定资格要求：</w:t>
      </w:r>
      <w:bookmarkEnd w:id="30"/>
    </w:p>
    <w:p w14:paraId="77ACBE7A">
      <w:pPr>
        <w:spacing w:line="360" w:lineRule="auto"/>
        <w:ind w:firstLine="420" w:firstLineChars="200"/>
        <w:rPr>
          <w:rFonts w:hint="eastAsia" w:ascii="宋体" w:hAnsi="宋体" w:eastAsia="宋体" w:cs="宋体"/>
          <w:i/>
          <w:iCs/>
          <w:color w:val="auto"/>
          <w:szCs w:val="21"/>
          <w:highlight w:val="none"/>
          <w:u w:val="single"/>
          <w:lang w:eastAsia="zh-CN"/>
        </w:rPr>
      </w:pPr>
      <w:r>
        <w:rPr>
          <w:rFonts w:hint="eastAsia" w:ascii="宋体" w:hAnsi="宋体"/>
          <w:color w:val="auto"/>
          <w:szCs w:val="21"/>
          <w:highlight w:val="none"/>
          <w:lang w:val="en-US" w:eastAsia="zh-CN"/>
        </w:rPr>
        <w:t>无。</w:t>
      </w:r>
    </w:p>
    <w:p w14:paraId="1F4BE08B">
      <w:pPr>
        <w:pStyle w:val="4"/>
        <w:spacing w:line="360" w:lineRule="auto"/>
        <w:jc w:val="left"/>
        <w:rPr>
          <w:rFonts w:ascii="宋体" w:hAnsi="宋体" w:cs="宋体"/>
          <w:bCs/>
          <w:color w:val="auto"/>
          <w:sz w:val="21"/>
          <w:szCs w:val="21"/>
          <w:highlight w:val="none"/>
        </w:rPr>
      </w:pPr>
      <w:bookmarkStart w:id="31" w:name="_Toc4017"/>
      <w:bookmarkStart w:id="32" w:name="_Toc35393792"/>
      <w:bookmarkStart w:id="33" w:name="_Toc173"/>
      <w:bookmarkStart w:id="34" w:name="_Toc35393623"/>
      <w:bookmarkStart w:id="35" w:name="_Toc8143"/>
      <w:r>
        <w:rPr>
          <w:rFonts w:hint="eastAsia" w:ascii="宋体" w:hAnsi="宋体" w:cs="宋体"/>
          <w:bCs/>
          <w:color w:val="auto"/>
          <w:sz w:val="21"/>
          <w:szCs w:val="21"/>
          <w:highlight w:val="none"/>
        </w:rPr>
        <w:t>三、获取招标文件</w:t>
      </w:r>
      <w:bookmarkEnd w:id="28"/>
      <w:bookmarkEnd w:id="29"/>
      <w:bookmarkEnd w:id="31"/>
      <w:bookmarkEnd w:id="32"/>
      <w:bookmarkEnd w:id="33"/>
      <w:bookmarkEnd w:id="34"/>
      <w:bookmarkEnd w:id="35"/>
    </w:p>
    <w:p w14:paraId="6252F64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14:paraId="7E850BBC">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日（节假日除外），上午9：00～12：00，下午14：30～17：30（北京时间）； </w:t>
      </w:r>
    </w:p>
    <w:p w14:paraId="6EC193E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F04F2D3">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38C4843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6B26FF64">
      <w:pPr>
        <w:pStyle w:val="28"/>
        <w:tabs>
          <w:tab w:val="left" w:pos="804"/>
        </w:tabs>
        <w:autoSpaceDE w:val="0"/>
        <w:autoSpaceDN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572554F">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6D7F0D3C">
      <w:pPr>
        <w:pStyle w:val="28"/>
        <w:tabs>
          <w:tab w:val="left" w:pos="804"/>
        </w:tabs>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3DFB2198">
      <w:pPr>
        <w:pStyle w:val="4"/>
        <w:spacing w:line="360" w:lineRule="auto"/>
        <w:jc w:val="left"/>
        <w:rPr>
          <w:rFonts w:ascii="宋体" w:hAnsi="宋体" w:cs="宋体"/>
          <w:bCs/>
          <w:color w:val="auto"/>
          <w:sz w:val="21"/>
          <w:szCs w:val="21"/>
          <w:highlight w:val="none"/>
        </w:rPr>
      </w:pPr>
      <w:bookmarkStart w:id="36" w:name="_Toc28359082"/>
      <w:bookmarkStart w:id="37" w:name="_Toc28359005"/>
      <w:bookmarkStart w:id="38" w:name="_Toc28585"/>
      <w:bookmarkStart w:id="39" w:name="_Toc35393793"/>
      <w:bookmarkStart w:id="40" w:name="_Toc16731"/>
      <w:bookmarkStart w:id="41" w:name="_Toc35393624"/>
      <w:bookmarkStart w:id="42" w:name="_Toc10892"/>
      <w:r>
        <w:rPr>
          <w:rFonts w:hint="eastAsia" w:ascii="宋体" w:hAnsi="宋体" w:cs="宋体"/>
          <w:bCs/>
          <w:color w:val="auto"/>
          <w:sz w:val="21"/>
          <w:szCs w:val="21"/>
          <w:highlight w:val="none"/>
        </w:rPr>
        <w:t>四、提交投标文件</w:t>
      </w:r>
      <w:bookmarkEnd w:id="36"/>
      <w:bookmarkEnd w:id="37"/>
      <w:r>
        <w:rPr>
          <w:rFonts w:hint="eastAsia" w:ascii="宋体" w:hAnsi="宋体" w:cs="宋体"/>
          <w:bCs/>
          <w:color w:val="auto"/>
          <w:sz w:val="21"/>
          <w:szCs w:val="21"/>
          <w:highlight w:val="none"/>
        </w:rPr>
        <w:t>截止时间、开标时间和地点</w:t>
      </w:r>
      <w:bookmarkEnd w:id="38"/>
      <w:bookmarkEnd w:id="39"/>
      <w:bookmarkEnd w:id="40"/>
      <w:bookmarkEnd w:id="41"/>
      <w:bookmarkEnd w:id="42"/>
    </w:p>
    <w:p w14:paraId="11DA35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1、递交投标文件时间：2025年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:30（北京时间）</w:t>
      </w:r>
    </w:p>
    <w:p w14:paraId="09ACD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2、投标截止及开标时间：2025年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时30分（北京时间）</w:t>
      </w:r>
    </w:p>
    <w:p w14:paraId="4096E06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14:paraId="07EC7177">
      <w:pPr>
        <w:pStyle w:val="4"/>
        <w:spacing w:line="360" w:lineRule="auto"/>
        <w:jc w:val="left"/>
        <w:rPr>
          <w:rFonts w:ascii="宋体" w:hAnsi="宋体" w:cs="宋体"/>
          <w:bCs/>
          <w:color w:val="auto"/>
          <w:sz w:val="21"/>
          <w:szCs w:val="21"/>
          <w:highlight w:val="none"/>
        </w:rPr>
      </w:pPr>
      <w:bookmarkStart w:id="43" w:name="_Toc17500"/>
      <w:bookmarkStart w:id="44" w:name="_Toc35393625"/>
      <w:bookmarkStart w:id="45" w:name="_Toc28359007"/>
      <w:bookmarkStart w:id="46" w:name="_Toc35393794"/>
      <w:bookmarkStart w:id="47" w:name="_Toc28359084"/>
      <w:bookmarkStart w:id="48" w:name="_Toc32092"/>
      <w:bookmarkStart w:id="49" w:name="_Toc25695"/>
      <w:r>
        <w:rPr>
          <w:rFonts w:hint="eastAsia" w:ascii="宋体" w:hAnsi="宋体" w:cs="宋体"/>
          <w:bCs/>
          <w:color w:val="auto"/>
          <w:sz w:val="21"/>
          <w:szCs w:val="21"/>
          <w:highlight w:val="none"/>
        </w:rPr>
        <w:t>五、公告期限</w:t>
      </w:r>
      <w:bookmarkEnd w:id="43"/>
      <w:bookmarkEnd w:id="44"/>
      <w:bookmarkEnd w:id="45"/>
      <w:bookmarkEnd w:id="46"/>
      <w:bookmarkEnd w:id="47"/>
      <w:bookmarkEnd w:id="48"/>
      <w:bookmarkEnd w:id="49"/>
    </w:p>
    <w:p w14:paraId="7BBA91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80BCEE8">
      <w:pPr>
        <w:pStyle w:val="4"/>
        <w:spacing w:line="360" w:lineRule="auto"/>
        <w:jc w:val="left"/>
        <w:rPr>
          <w:rFonts w:ascii="宋体" w:hAnsi="宋体" w:cs="宋体"/>
          <w:bCs/>
          <w:color w:val="auto"/>
          <w:sz w:val="21"/>
          <w:szCs w:val="21"/>
          <w:highlight w:val="none"/>
        </w:rPr>
      </w:pPr>
      <w:bookmarkStart w:id="50" w:name="_Toc12747"/>
      <w:bookmarkStart w:id="51" w:name="_Toc1519"/>
      <w:bookmarkStart w:id="52" w:name="_Toc35393626"/>
      <w:bookmarkStart w:id="53" w:name="_Toc10115"/>
      <w:bookmarkStart w:id="54" w:name="_Toc35393795"/>
      <w:r>
        <w:rPr>
          <w:rFonts w:hint="eastAsia" w:ascii="宋体" w:hAnsi="宋体" w:cs="宋体"/>
          <w:bCs/>
          <w:color w:val="auto"/>
          <w:sz w:val="21"/>
          <w:szCs w:val="21"/>
          <w:highlight w:val="none"/>
        </w:rPr>
        <w:t>六、其他补充事宜</w:t>
      </w:r>
      <w:bookmarkEnd w:id="50"/>
      <w:bookmarkEnd w:id="51"/>
      <w:bookmarkEnd w:id="52"/>
      <w:bookmarkEnd w:id="53"/>
      <w:bookmarkEnd w:id="54"/>
    </w:p>
    <w:p w14:paraId="6C45C7C7">
      <w:pPr>
        <w:widowControl/>
        <w:spacing w:line="360" w:lineRule="auto"/>
        <w:ind w:firstLine="420" w:firstLineChars="200"/>
        <w:rPr>
          <w:rFonts w:ascii="宋体" w:hAnsi="宋体"/>
          <w:color w:val="auto"/>
          <w:szCs w:val="21"/>
          <w:highlight w:val="none"/>
        </w:rPr>
      </w:pPr>
      <w:bookmarkStart w:id="55" w:name="_Toc28359085"/>
      <w:bookmarkStart w:id="56" w:name="_Toc35393627"/>
      <w:bookmarkStart w:id="57" w:name="_Toc35393796"/>
      <w:bookmarkStart w:id="58" w:name="_Toc28359008"/>
      <w:r>
        <w:rPr>
          <w:rFonts w:hint="eastAsia" w:ascii="宋体" w:hAnsi="宋体"/>
          <w:color w:val="auto"/>
          <w:szCs w:val="21"/>
          <w:highlight w:val="none"/>
        </w:rPr>
        <w:t>1、招标文件公示/下载媒体</w:t>
      </w:r>
    </w:p>
    <w:p w14:paraId="123A545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t>
      </w:r>
      <w:r>
        <w:rPr>
          <w:rFonts w:hint="eastAsia" w:ascii="宋体" w:hAnsi="宋体"/>
          <w:color w:val="auto"/>
          <w:szCs w:val="21"/>
          <w:highlight w:val="none"/>
          <w:lang w:eastAsia="zh-CN"/>
        </w:rPr>
        <w:t>：</w:t>
      </w:r>
      <w:r>
        <w:rPr>
          <w:rFonts w:hint="eastAsia" w:ascii="宋体" w:hAnsi="宋体"/>
          <w:color w:val="auto"/>
          <w:szCs w:val="21"/>
          <w:highlight w:val="none"/>
        </w:rPr>
        <w:t>//www.chinabidding.cn/)以及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47638FE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w:t>
      </w:r>
      <w:r>
        <w:rPr>
          <w:rFonts w:hint="eastAsia" w:ascii="宋体" w:hAnsi="宋体"/>
          <w:color w:val="auto"/>
          <w:szCs w:val="21"/>
          <w:highlight w:val="none"/>
          <w:lang w:eastAsia="zh-CN"/>
        </w:rPr>
        <w:t>采购代理机构</w:t>
      </w:r>
      <w:r>
        <w:rPr>
          <w:rFonts w:hint="eastAsia" w:ascii="宋体" w:hAnsi="宋体"/>
          <w:color w:val="auto"/>
          <w:szCs w:val="21"/>
          <w:highlight w:val="none"/>
        </w:rPr>
        <w:t>。</w:t>
      </w:r>
    </w:p>
    <w:p w14:paraId="05B0A77D">
      <w:pPr>
        <w:pStyle w:val="4"/>
        <w:spacing w:line="360" w:lineRule="auto"/>
        <w:jc w:val="left"/>
        <w:rPr>
          <w:rFonts w:ascii="宋体" w:hAnsi="宋体" w:cs="宋体"/>
          <w:bCs/>
          <w:color w:val="auto"/>
          <w:sz w:val="21"/>
          <w:szCs w:val="21"/>
          <w:highlight w:val="none"/>
        </w:rPr>
      </w:pPr>
      <w:bookmarkStart w:id="59" w:name="_Toc2270"/>
      <w:bookmarkStart w:id="60" w:name="_Toc4150"/>
      <w:bookmarkStart w:id="61" w:name="_Toc5139"/>
      <w:r>
        <w:rPr>
          <w:rFonts w:hint="eastAsia" w:ascii="宋体" w:hAnsi="宋体" w:cs="宋体"/>
          <w:bCs/>
          <w:color w:val="auto"/>
          <w:sz w:val="21"/>
          <w:szCs w:val="21"/>
          <w:highlight w:val="none"/>
        </w:rPr>
        <w:t>七、对本次招标提出询问，请按以下方式联系。</w:t>
      </w:r>
      <w:bookmarkEnd w:id="55"/>
      <w:bookmarkEnd w:id="56"/>
      <w:bookmarkEnd w:id="57"/>
      <w:bookmarkEnd w:id="58"/>
      <w:bookmarkEnd w:id="59"/>
      <w:bookmarkEnd w:id="60"/>
      <w:bookmarkEnd w:id="61"/>
    </w:p>
    <w:p w14:paraId="0136E367">
      <w:pPr>
        <w:widowControl/>
        <w:spacing w:line="360" w:lineRule="auto"/>
        <w:outlineLvl w:val="2"/>
        <w:rPr>
          <w:rFonts w:ascii="宋体" w:hAnsi="宋体" w:cs="宋体"/>
          <w:b/>
          <w:bCs/>
          <w:color w:val="auto"/>
          <w:szCs w:val="21"/>
          <w:highlight w:val="none"/>
        </w:rPr>
      </w:pPr>
      <w:bookmarkStart w:id="62" w:name="_Toc29656"/>
      <w:bookmarkStart w:id="63" w:name="_Toc31577"/>
      <w:bookmarkStart w:id="64" w:name="_Toc23922"/>
      <w:r>
        <w:rPr>
          <w:rFonts w:hint="eastAsia" w:ascii="宋体" w:hAnsi="宋体" w:cs="宋体"/>
          <w:b/>
          <w:bCs/>
          <w:color w:val="auto"/>
          <w:szCs w:val="21"/>
          <w:highlight w:val="none"/>
        </w:rPr>
        <w:t>1.</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信息</w:t>
      </w:r>
      <w:bookmarkEnd w:id="62"/>
      <w:bookmarkEnd w:id="63"/>
      <w:bookmarkEnd w:id="64"/>
    </w:p>
    <w:p w14:paraId="7C59314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东莞市沙田镇第二幼儿园</w:t>
      </w:r>
    </w:p>
    <w:p w14:paraId="57002363">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东莞市沙田镇</w:t>
      </w:r>
    </w:p>
    <w:p w14:paraId="7708B3E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cs="宋体"/>
          <w:color w:val="auto"/>
          <w:szCs w:val="21"/>
          <w:highlight w:val="none"/>
        </w:rPr>
        <w:t>0769-</w:t>
      </w:r>
      <w:r>
        <w:rPr>
          <w:rFonts w:hint="eastAsia"/>
          <w:color w:val="auto"/>
          <w:highlight w:val="none"/>
        </w:rPr>
        <w:t>82796966</w:t>
      </w:r>
    </w:p>
    <w:p w14:paraId="3FAB19C0">
      <w:pPr>
        <w:spacing w:line="360" w:lineRule="auto"/>
        <w:ind w:left="264" w:hanging="264" w:hangingChars="125"/>
        <w:outlineLvl w:val="2"/>
        <w:rPr>
          <w:rFonts w:ascii="宋体" w:hAnsi="宋体" w:cs="宋体"/>
          <w:b/>
          <w:bCs/>
          <w:color w:val="auto"/>
          <w:szCs w:val="21"/>
          <w:highlight w:val="none"/>
        </w:rPr>
      </w:pPr>
      <w:bookmarkStart w:id="65" w:name="_Toc28359009"/>
      <w:bookmarkStart w:id="66" w:name="_Toc28359086"/>
      <w:bookmarkStart w:id="67" w:name="_Toc28031"/>
      <w:bookmarkStart w:id="68" w:name="_Toc4580"/>
      <w:bookmarkStart w:id="69" w:name="_Toc13107"/>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采购代理机构</w:t>
      </w:r>
      <w:r>
        <w:rPr>
          <w:rFonts w:hint="eastAsia" w:ascii="宋体" w:hAnsi="宋体" w:cs="宋体"/>
          <w:b/>
          <w:bCs/>
          <w:color w:val="auto"/>
          <w:szCs w:val="21"/>
          <w:highlight w:val="none"/>
        </w:rPr>
        <w:t>信息</w:t>
      </w:r>
      <w:bookmarkEnd w:id="65"/>
      <w:bookmarkEnd w:id="66"/>
      <w:bookmarkEnd w:id="67"/>
      <w:bookmarkEnd w:id="68"/>
      <w:bookmarkEnd w:id="69"/>
    </w:p>
    <w:p w14:paraId="77660C6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3BC0543">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2D04EF26">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70" w:name="_Toc28359010"/>
      <w:bookmarkStart w:id="71" w:name="_Toc28359087"/>
      <w:r>
        <w:rPr>
          <w:rFonts w:hint="eastAsia" w:ascii="宋体" w:hAnsi="宋体" w:cs="宋体"/>
          <w:color w:val="auto"/>
          <w:szCs w:val="21"/>
          <w:highlight w:val="none"/>
        </w:rPr>
        <w:t>0769-22980090</w:t>
      </w:r>
    </w:p>
    <w:p w14:paraId="2A3C5705">
      <w:pPr>
        <w:spacing w:line="360" w:lineRule="auto"/>
        <w:outlineLvl w:val="2"/>
        <w:rPr>
          <w:rFonts w:ascii="宋体" w:hAnsi="宋体" w:cs="宋体"/>
          <w:b/>
          <w:bCs/>
          <w:color w:val="auto"/>
          <w:szCs w:val="21"/>
          <w:highlight w:val="none"/>
        </w:rPr>
      </w:pPr>
      <w:bookmarkStart w:id="72" w:name="_Toc9440"/>
      <w:bookmarkStart w:id="73" w:name="_Toc620"/>
      <w:bookmarkStart w:id="74" w:name="_Toc11278"/>
      <w:r>
        <w:rPr>
          <w:rFonts w:hint="eastAsia" w:ascii="宋体" w:hAnsi="宋体" w:cs="宋体"/>
          <w:b/>
          <w:bCs/>
          <w:color w:val="auto"/>
          <w:szCs w:val="21"/>
          <w:highlight w:val="none"/>
        </w:rPr>
        <w:t>3.项目联系方式</w:t>
      </w:r>
      <w:bookmarkEnd w:id="70"/>
      <w:bookmarkEnd w:id="71"/>
      <w:bookmarkEnd w:id="72"/>
      <w:bookmarkEnd w:id="73"/>
      <w:bookmarkEnd w:id="74"/>
    </w:p>
    <w:p w14:paraId="6909EEFB">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598ACA7A">
      <w:pPr>
        <w:pStyle w:val="11"/>
        <w:spacing w:line="360" w:lineRule="auto"/>
        <w:rPr>
          <w:rFonts w:hint="eastAsia"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336C8E5A">
      <w:pPr>
        <w:rPr>
          <w:rFonts w:hint="eastAsia" w:hAnsi="宋体" w:eastAsia="宋体" w:cs="宋体"/>
          <w:color w:val="auto"/>
          <w:szCs w:val="21"/>
          <w:highlight w:val="none"/>
        </w:rPr>
      </w:pPr>
      <w:r>
        <w:rPr>
          <w:rFonts w:hint="eastAsia" w:hAnsi="宋体" w:eastAsia="宋体" w:cs="宋体"/>
          <w:color w:val="auto"/>
          <w:szCs w:val="21"/>
          <w:highlight w:val="none"/>
        </w:rPr>
        <w:br w:type="page"/>
      </w:r>
    </w:p>
    <w:p w14:paraId="12E59E84">
      <w:pPr>
        <w:pStyle w:val="3"/>
        <w:numPr>
          <w:ilvl w:val="0"/>
          <w:numId w:val="1"/>
        </w:numPr>
        <w:spacing w:line="360" w:lineRule="auto"/>
        <w:rPr>
          <w:color w:val="auto"/>
          <w:highlight w:val="none"/>
        </w:rPr>
      </w:pPr>
      <w:bookmarkStart w:id="75" w:name="_Toc26902"/>
      <w:r>
        <w:rPr>
          <w:rFonts w:hint="eastAsia"/>
          <w:color w:val="auto"/>
          <w:highlight w:val="none"/>
        </w:rPr>
        <w:t>投标人须知</w:t>
      </w:r>
      <w:bookmarkEnd w:id="75"/>
    </w:p>
    <w:p w14:paraId="0A32BB34">
      <w:pPr>
        <w:pStyle w:val="4"/>
        <w:spacing w:line="360" w:lineRule="auto"/>
        <w:rPr>
          <w:color w:val="auto"/>
          <w:highlight w:val="none"/>
          <w:lang w:val="zh-CN"/>
        </w:rPr>
      </w:pPr>
      <w:bookmarkStart w:id="76" w:name="_Toc396137231"/>
      <w:bookmarkStart w:id="77" w:name="_Toc9914"/>
      <w:bookmarkStart w:id="78" w:name="_Toc413402429"/>
      <w:bookmarkStart w:id="79" w:name="_Toc497983494"/>
      <w:r>
        <w:rPr>
          <w:rFonts w:hint="eastAsia"/>
          <w:color w:val="auto"/>
          <w:highlight w:val="none"/>
          <w:lang w:val="zh-CN"/>
        </w:rPr>
        <w:t>一、投标须知前附表</w:t>
      </w:r>
      <w:bookmarkEnd w:id="76"/>
      <w:bookmarkEnd w:id="77"/>
      <w:bookmarkEnd w:id="78"/>
      <w:bookmarkEnd w:id="79"/>
    </w:p>
    <w:tbl>
      <w:tblPr>
        <w:tblStyle w:val="20"/>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30"/>
        <w:gridCol w:w="7079"/>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30"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079"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0"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079"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自有</w:t>
            </w:r>
            <w:r>
              <w:rPr>
                <w:rFonts w:hint="eastAsia" w:ascii="宋体" w:hAnsi="宋体" w:cs="宋体"/>
                <w:color w:val="auto"/>
                <w:szCs w:val="21"/>
                <w:highlight w:val="none"/>
              </w:rPr>
              <w:t>资金。</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30"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079"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30"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079"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30"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079"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30"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079" w:type="dxa"/>
            <w:tcBorders>
              <w:top w:val="single" w:color="auto" w:sz="4" w:space="0"/>
              <w:left w:val="single" w:color="auto" w:sz="4" w:space="0"/>
              <w:bottom w:val="single" w:color="auto" w:sz="4" w:space="0"/>
              <w:right w:val="double" w:color="auto" w:sz="4" w:space="0"/>
            </w:tcBorders>
            <w:vAlign w:val="center"/>
          </w:tcPr>
          <w:p w14:paraId="07AD509F">
            <w:pPr>
              <w:pStyle w:val="2"/>
              <w:rPr>
                <w:color w:val="auto"/>
                <w:highlight w:val="none"/>
              </w:rPr>
            </w:pPr>
            <w:bookmarkStart w:id="80" w:name="_Toc26770"/>
            <w:bookmarkStart w:id="81" w:name="_Toc13082"/>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bookmarkEnd w:id="80"/>
            <w:bookmarkEnd w:id="81"/>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30"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079"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30"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079"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4297527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c>
          <w:tcPr>
            <w:tcW w:w="1330"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079"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66C898DE">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1330" w:type="dxa"/>
            <w:tcBorders>
              <w:top w:val="single" w:color="auto" w:sz="4" w:space="0"/>
              <w:left w:val="single" w:color="auto" w:sz="4" w:space="0"/>
              <w:bottom w:val="single" w:color="auto" w:sz="4" w:space="0"/>
              <w:right w:val="single" w:color="auto" w:sz="4" w:space="0"/>
            </w:tcBorders>
            <w:vAlign w:val="center"/>
          </w:tcPr>
          <w:p w14:paraId="74281AE3">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079" w:type="dxa"/>
            <w:tcBorders>
              <w:top w:val="single" w:color="auto" w:sz="4" w:space="0"/>
              <w:left w:val="single" w:color="auto" w:sz="4" w:space="0"/>
              <w:bottom w:val="single" w:color="auto" w:sz="4" w:space="0"/>
              <w:right w:val="double" w:color="auto" w:sz="4" w:space="0"/>
            </w:tcBorders>
            <w:vAlign w:val="center"/>
          </w:tcPr>
          <w:p w14:paraId="7C7D4C4A">
            <w:pPr>
              <w:spacing w:line="360" w:lineRule="auto"/>
              <w:rPr>
                <w:rFonts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本项目不收取</w:t>
            </w:r>
            <w:r>
              <w:rPr>
                <w:rFonts w:hint="eastAsia" w:ascii="宋体" w:hAnsi="宋体" w:cs="宋体"/>
                <w:b w:val="0"/>
                <w:bCs w:val="0"/>
                <w:color w:val="auto"/>
                <w:szCs w:val="21"/>
                <w:highlight w:val="none"/>
                <w:lang w:eastAsia="zh-CN"/>
              </w:rPr>
              <w:t>）</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1330"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079" w:type="dxa"/>
            <w:tcBorders>
              <w:top w:val="single" w:color="auto" w:sz="4" w:space="0"/>
              <w:left w:val="single" w:color="auto" w:sz="4" w:space="0"/>
              <w:bottom w:val="single" w:color="auto" w:sz="4" w:space="0"/>
              <w:right w:val="double" w:color="auto" w:sz="4" w:space="0"/>
            </w:tcBorders>
            <w:vAlign w:val="center"/>
          </w:tcPr>
          <w:p w14:paraId="0016B2D5">
            <w:pPr>
              <w:numPr>
                <w:ilvl w:val="0"/>
                <w:numId w:val="0"/>
              </w:numPr>
              <w:spacing w:line="360" w:lineRule="auto"/>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（1）</w:t>
            </w:r>
            <w:r>
              <w:rPr>
                <w:rFonts w:hint="eastAsia" w:ascii="宋体" w:hAnsi="宋体" w:cs="宋体"/>
                <w:color w:val="auto"/>
                <w:highlight w:val="none"/>
                <w:lang w:val="en-US" w:eastAsia="zh-CN"/>
              </w:rPr>
              <w:t>中标</w:t>
            </w:r>
            <w:r>
              <w:rPr>
                <w:rFonts w:hint="eastAsia" w:ascii="宋体" w:hAnsi="宋体" w:cs="宋体"/>
                <w:color w:val="auto"/>
                <w:highlight w:val="none"/>
              </w:rPr>
              <w:t>服务费</w:t>
            </w:r>
            <w:r>
              <w:rPr>
                <w:rFonts w:hint="eastAsia" w:ascii="宋体" w:hAnsi="宋体" w:cs="宋体"/>
                <w:color w:val="auto"/>
                <w:highlight w:val="none"/>
                <w:lang w:val="en-US" w:eastAsia="zh-CN"/>
              </w:rPr>
              <w:t>向中标人</w:t>
            </w:r>
            <w:r>
              <w:rPr>
                <w:rFonts w:hint="eastAsia" w:ascii="宋体" w:hAnsi="宋体"/>
                <w:color w:val="auto"/>
                <w:sz w:val="21"/>
                <w:szCs w:val="21"/>
                <w:highlight w:val="none"/>
                <w:lang w:val="en-US" w:eastAsia="zh-CN"/>
              </w:rPr>
              <w:t>定额收取，</w:t>
            </w:r>
            <w:r>
              <w:rPr>
                <w:rFonts w:hint="eastAsia" w:ascii="宋体" w:hAnsi="宋体" w:eastAsia="宋体"/>
                <w:color w:val="auto"/>
                <w:sz w:val="21"/>
                <w:szCs w:val="21"/>
                <w:highlight w:val="none"/>
              </w:rPr>
              <w:t>为人民币</w:t>
            </w:r>
            <w:r>
              <w:rPr>
                <w:rFonts w:hint="eastAsia" w:ascii="宋体" w:hAnsi="宋体"/>
                <w:color w:val="auto"/>
                <w:sz w:val="21"/>
                <w:szCs w:val="21"/>
                <w:highlight w:val="none"/>
                <w:lang w:val="en-US" w:eastAsia="zh-CN"/>
              </w:rPr>
              <w:t>陆仟</w:t>
            </w:r>
            <w:r>
              <w:rPr>
                <w:rFonts w:hint="eastAsia" w:ascii="宋体" w:hAnsi="宋体" w:eastAsia="宋体"/>
                <w:color w:val="auto"/>
                <w:sz w:val="21"/>
                <w:szCs w:val="21"/>
                <w:highlight w:val="none"/>
              </w:rPr>
              <w:t>元整（¥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,000.00）</w:t>
            </w:r>
            <w:r>
              <w:rPr>
                <w:rFonts w:hint="eastAsia" w:ascii="宋体" w:hAnsi="宋体" w:cs="宋体"/>
                <w:color w:val="auto"/>
                <w:highlight w:val="none"/>
              </w:rPr>
              <w:t>。</w:t>
            </w:r>
          </w:p>
          <w:p w14:paraId="7C94E89E">
            <w:pPr>
              <w:spacing w:line="360" w:lineRule="auto"/>
              <w:rPr>
                <w:color w:val="auto"/>
                <w:highlight w:val="none"/>
              </w:rPr>
            </w:pPr>
            <w:r>
              <w:rPr>
                <w:rFonts w:hint="eastAsia"/>
                <w:color w:val="auto"/>
                <w:highlight w:val="none"/>
              </w:rPr>
              <w:t>（2）中标服务费以转账或现金的形式支付。</w:t>
            </w:r>
            <w:r>
              <w:rPr>
                <w:rFonts w:hint="eastAsia"/>
                <w:color w:val="auto"/>
                <w:highlight w:val="none"/>
                <w:lang w:eastAsia="zh-CN"/>
              </w:rPr>
              <w:t>采购代理机构</w:t>
            </w:r>
            <w:r>
              <w:rPr>
                <w:rFonts w:hint="eastAsia"/>
                <w:color w:val="auto"/>
                <w:highlight w:val="none"/>
              </w:rPr>
              <w:t>服务费汇入账号：</w:t>
            </w:r>
          </w:p>
          <w:p w14:paraId="079C038F">
            <w:pPr>
              <w:spacing w:line="360" w:lineRule="auto"/>
              <w:rPr>
                <w:color w:val="auto"/>
                <w:highlight w:val="none"/>
              </w:rPr>
            </w:pPr>
            <w:r>
              <w:rPr>
                <w:rFonts w:hint="eastAsia"/>
                <w:color w:val="auto"/>
                <w:highlight w:val="none"/>
              </w:rPr>
              <w:t>收 款 人：国顺招标有限公司</w:t>
            </w:r>
          </w:p>
          <w:p w14:paraId="3339A023">
            <w:pPr>
              <w:spacing w:line="360" w:lineRule="auto"/>
              <w:rPr>
                <w:color w:val="auto"/>
                <w:highlight w:val="none"/>
              </w:rPr>
            </w:pPr>
            <w:r>
              <w:rPr>
                <w:rFonts w:hint="eastAsia"/>
                <w:color w:val="auto"/>
                <w:highlight w:val="none"/>
              </w:rPr>
              <w:t>开户银行：广发银行股份有限公司东莞南城支行</w:t>
            </w:r>
          </w:p>
          <w:p w14:paraId="007FD168">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6737BC2C">
      <w:pPr>
        <w:rPr>
          <w:color w:val="auto"/>
          <w:highlight w:val="none"/>
        </w:rPr>
      </w:pPr>
      <w:r>
        <w:rPr>
          <w:color w:val="auto"/>
          <w:highlight w:val="none"/>
        </w:rPr>
        <w:br w:type="page"/>
      </w:r>
    </w:p>
    <w:p w14:paraId="39205564">
      <w:pPr>
        <w:pStyle w:val="4"/>
        <w:numPr>
          <w:ilvl w:val="0"/>
          <w:numId w:val="3"/>
        </w:numPr>
        <w:rPr>
          <w:color w:val="auto"/>
          <w:highlight w:val="none"/>
        </w:rPr>
      </w:pPr>
      <w:bookmarkStart w:id="82" w:name="_Toc12160"/>
      <w:r>
        <w:rPr>
          <w:rFonts w:hint="eastAsia"/>
          <w:color w:val="auto"/>
          <w:highlight w:val="none"/>
        </w:rPr>
        <w:t>投标须知</w:t>
      </w:r>
      <w:bookmarkEnd w:id="82"/>
    </w:p>
    <w:p w14:paraId="551D3CD8">
      <w:pPr>
        <w:pStyle w:val="2"/>
        <w:rPr>
          <w:color w:val="auto"/>
          <w:highlight w:val="none"/>
        </w:rPr>
      </w:pPr>
      <w:bookmarkStart w:id="83" w:name="_Toc16746"/>
      <w:bookmarkStart w:id="84" w:name="_Toc2381"/>
      <w:r>
        <w:rPr>
          <w:rFonts w:hint="eastAsia"/>
          <w:color w:val="auto"/>
          <w:highlight w:val="none"/>
        </w:rPr>
        <w:t>1.适用范围</w:t>
      </w:r>
      <w:bookmarkEnd w:id="83"/>
      <w:bookmarkEnd w:id="84"/>
    </w:p>
    <w:p w14:paraId="0D020B3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358A198C">
      <w:pPr>
        <w:spacing w:line="400" w:lineRule="exact"/>
        <w:rPr>
          <w:rFonts w:ascii="宋体" w:hAnsi="宋体" w:cs="宋体"/>
          <w:color w:val="auto"/>
          <w:szCs w:val="21"/>
          <w:highlight w:val="none"/>
        </w:rPr>
      </w:pPr>
    </w:p>
    <w:p w14:paraId="2F1FF252">
      <w:pPr>
        <w:pStyle w:val="2"/>
        <w:rPr>
          <w:color w:val="auto"/>
          <w:highlight w:val="none"/>
        </w:rPr>
      </w:pPr>
      <w:bookmarkStart w:id="85" w:name="_Toc29518"/>
      <w:bookmarkStart w:id="86" w:name="_Toc15203"/>
      <w:r>
        <w:rPr>
          <w:rFonts w:hint="eastAsia"/>
          <w:color w:val="auto"/>
          <w:highlight w:val="none"/>
        </w:rPr>
        <w:t>2.</w:t>
      </w:r>
      <w:bookmarkStart w:id="87" w:name="_Toc298847174"/>
      <w:bookmarkStart w:id="88" w:name="_Toc303084246"/>
      <w:bookmarkStart w:id="89" w:name="_Toc382049092"/>
      <w:bookmarkStart w:id="90" w:name="_Toc1530"/>
      <w:r>
        <w:rPr>
          <w:rFonts w:hint="eastAsia"/>
          <w:color w:val="auto"/>
          <w:highlight w:val="none"/>
        </w:rPr>
        <w:t>定义</w:t>
      </w:r>
      <w:bookmarkEnd w:id="85"/>
      <w:bookmarkEnd w:id="86"/>
      <w:bookmarkEnd w:id="87"/>
      <w:bookmarkEnd w:id="88"/>
      <w:bookmarkEnd w:id="89"/>
      <w:bookmarkEnd w:id="90"/>
    </w:p>
    <w:p w14:paraId="6AE3F3E9">
      <w:pPr>
        <w:pStyle w:val="28"/>
        <w:numPr>
          <w:ilvl w:val="0"/>
          <w:numId w:val="4"/>
        </w:numPr>
        <w:spacing w:line="400" w:lineRule="exact"/>
        <w:ind w:firstLineChars="0"/>
        <w:jc w:val="both"/>
        <w:rPr>
          <w:rFonts w:ascii="宋体" w:hAnsi="宋体" w:cs="宋体"/>
          <w:vanish/>
          <w:color w:val="auto"/>
          <w:szCs w:val="21"/>
          <w:highlight w:val="none"/>
        </w:rPr>
      </w:pPr>
    </w:p>
    <w:p w14:paraId="08D2231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：是指依法进行采购的国家机关、事业单位等团体组织。</w:t>
      </w:r>
    </w:p>
    <w:p w14:paraId="5E843CB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5F233A5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56518CA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确认的获得本项目中标资格的投标人。</w:t>
      </w:r>
    </w:p>
    <w:p w14:paraId="6AED12E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：国顺招标有限公司。</w:t>
      </w:r>
    </w:p>
    <w:p w14:paraId="3CD0B4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2E05A80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6C78E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50BC02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auto"/>
          <w:szCs w:val="21"/>
          <w:highlight w:val="none"/>
        </w:rPr>
      </w:pPr>
    </w:p>
    <w:p w14:paraId="1371BA4B">
      <w:pPr>
        <w:pStyle w:val="2"/>
        <w:rPr>
          <w:color w:val="auto"/>
          <w:highlight w:val="none"/>
        </w:rPr>
      </w:pPr>
      <w:bookmarkStart w:id="91" w:name="_Toc28656"/>
      <w:bookmarkStart w:id="92" w:name="_Toc1072"/>
      <w:r>
        <w:rPr>
          <w:rFonts w:hint="eastAsia"/>
          <w:color w:val="auto"/>
          <w:highlight w:val="none"/>
        </w:rPr>
        <w:t>3.货物和服务</w:t>
      </w:r>
      <w:bookmarkEnd w:id="91"/>
      <w:bookmarkEnd w:id="92"/>
    </w:p>
    <w:p w14:paraId="7C965123">
      <w:pPr>
        <w:pStyle w:val="28"/>
        <w:numPr>
          <w:ilvl w:val="0"/>
          <w:numId w:val="4"/>
        </w:numPr>
        <w:spacing w:line="400" w:lineRule="exact"/>
        <w:ind w:firstLineChars="0"/>
        <w:jc w:val="both"/>
        <w:rPr>
          <w:rFonts w:ascii="宋体" w:hAnsi="宋体" w:cs="宋体"/>
          <w:vanish/>
          <w:color w:val="auto"/>
          <w:szCs w:val="21"/>
          <w:highlight w:val="none"/>
        </w:rPr>
      </w:pPr>
    </w:p>
    <w:p w14:paraId="1971514D">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14:paraId="6F2DC1A7">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5DD7C3B4">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lang w:eastAsia="zh-CN"/>
        </w:rPr>
        <w:t>采购人</w:t>
      </w:r>
      <w:r>
        <w:rPr>
          <w:rFonts w:hint="eastAsia" w:ascii="宋体" w:hAnsi="宋体" w:cs="宋体"/>
          <w:iCs/>
          <w:color w:val="auto"/>
          <w:szCs w:val="21"/>
          <w:highlight w:val="none"/>
        </w:rPr>
        <w:t>有权拒绝接受任何不合格的服务，由此产生的费用及相关后果均由中标人自行承担；</w:t>
      </w:r>
    </w:p>
    <w:p w14:paraId="4753765C">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auto"/>
          <w:szCs w:val="21"/>
          <w:highlight w:val="none"/>
        </w:rPr>
      </w:pPr>
    </w:p>
    <w:p w14:paraId="5C33C57C">
      <w:pPr>
        <w:pStyle w:val="2"/>
        <w:rPr>
          <w:color w:val="auto"/>
          <w:highlight w:val="none"/>
        </w:rPr>
      </w:pPr>
      <w:bookmarkStart w:id="93" w:name="_Toc10127"/>
      <w:bookmarkStart w:id="94" w:name="_Toc16909"/>
      <w:r>
        <w:rPr>
          <w:rFonts w:hint="eastAsia"/>
          <w:color w:val="auto"/>
          <w:highlight w:val="none"/>
        </w:rPr>
        <w:t>4.投标费用</w:t>
      </w:r>
      <w:bookmarkEnd w:id="93"/>
      <w:bookmarkEnd w:id="94"/>
    </w:p>
    <w:p w14:paraId="57BB9637">
      <w:pPr>
        <w:pStyle w:val="28"/>
        <w:numPr>
          <w:ilvl w:val="0"/>
          <w:numId w:val="4"/>
        </w:numPr>
        <w:spacing w:line="400" w:lineRule="exact"/>
        <w:ind w:firstLineChars="0"/>
        <w:jc w:val="both"/>
        <w:rPr>
          <w:rFonts w:ascii="宋体" w:hAnsi="宋体" w:cs="宋体"/>
          <w:vanish/>
          <w:color w:val="auto"/>
          <w:szCs w:val="21"/>
          <w:highlight w:val="none"/>
        </w:rPr>
      </w:pPr>
    </w:p>
    <w:p w14:paraId="5EFD452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在任何情况下均无义务和责任承担这些费用。</w:t>
      </w:r>
    </w:p>
    <w:p w14:paraId="3A0439D1">
      <w:pPr>
        <w:spacing w:line="400" w:lineRule="exact"/>
        <w:jc w:val="both"/>
        <w:rPr>
          <w:rFonts w:ascii="宋体" w:hAnsi="宋体" w:cs="宋体"/>
          <w:color w:val="auto"/>
          <w:szCs w:val="21"/>
          <w:highlight w:val="none"/>
        </w:rPr>
      </w:pPr>
    </w:p>
    <w:p w14:paraId="03643016">
      <w:pPr>
        <w:pStyle w:val="2"/>
        <w:rPr>
          <w:color w:val="auto"/>
          <w:highlight w:val="none"/>
        </w:rPr>
      </w:pPr>
      <w:bookmarkStart w:id="95" w:name="_Toc2770"/>
      <w:bookmarkStart w:id="96" w:name="_Toc24409"/>
      <w:r>
        <w:rPr>
          <w:rFonts w:hint="eastAsia"/>
          <w:color w:val="auto"/>
          <w:highlight w:val="none"/>
        </w:rPr>
        <w:t>5.知识产权</w:t>
      </w:r>
      <w:bookmarkEnd w:id="95"/>
      <w:bookmarkEnd w:id="96"/>
    </w:p>
    <w:p w14:paraId="3976319D">
      <w:pPr>
        <w:pStyle w:val="28"/>
        <w:numPr>
          <w:ilvl w:val="0"/>
          <w:numId w:val="4"/>
        </w:numPr>
        <w:spacing w:line="400" w:lineRule="exact"/>
        <w:ind w:firstLineChars="0"/>
        <w:jc w:val="both"/>
        <w:rPr>
          <w:rFonts w:ascii="宋体" w:hAnsi="宋体" w:cs="宋体"/>
          <w:vanish/>
          <w:color w:val="auto"/>
          <w:szCs w:val="21"/>
          <w:highlight w:val="none"/>
        </w:rPr>
      </w:pPr>
    </w:p>
    <w:p w14:paraId="4B54470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享有本项目实施过程中产生的知识成果及知识产权。</w:t>
      </w:r>
    </w:p>
    <w:p w14:paraId="66310D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560438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36643BB8">
      <w:pPr>
        <w:spacing w:line="400" w:lineRule="exact"/>
        <w:ind w:left="567"/>
        <w:jc w:val="both"/>
        <w:rPr>
          <w:rFonts w:ascii="宋体" w:hAnsi="宋体" w:cs="宋体"/>
          <w:color w:val="auto"/>
          <w:szCs w:val="21"/>
          <w:highlight w:val="none"/>
        </w:rPr>
      </w:pPr>
    </w:p>
    <w:p w14:paraId="44CAFE0B">
      <w:pPr>
        <w:pStyle w:val="2"/>
        <w:rPr>
          <w:color w:val="auto"/>
          <w:highlight w:val="none"/>
        </w:rPr>
      </w:pPr>
      <w:bookmarkStart w:id="97" w:name="_Toc19092"/>
      <w:bookmarkStart w:id="98" w:name="_Toc25530"/>
      <w:r>
        <w:rPr>
          <w:rFonts w:hint="eastAsia"/>
          <w:color w:val="auto"/>
          <w:highlight w:val="none"/>
        </w:rPr>
        <w:t>6.关于联合体投标</w:t>
      </w:r>
      <w:bookmarkEnd w:id="97"/>
      <w:bookmarkEnd w:id="98"/>
    </w:p>
    <w:p w14:paraId="560E0BE9">
      <w:pPr>
        <w:pStyle w:val="28"/>
        <w:numPr>
          <w:ilvl w:val="0"/>
          <w:numId w:val="4"/>
        </w:numPr>
        <w:spacing w:line="400" w:lineRule="exact"/>
        <w:ind w:firstLineChars="0"/>
        <w:jc w:val="both"/>
        <w:rPr>
          <w:rFonts w:ascii="宋体" w:hAnsi="宋体" w:cs="宋体"/>
          <w:vanish/>
          <w:color w:val="auto"/>
          <w:szCs w:val="21"/>
          <w:highlight w:val="none"/>
        </w:rPr>
      </w:pPr>
    </w:p>
    <w:p w14:paraId="52A314E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7469FF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14:paraId="25087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2CB1D84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67FC75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规定的特定条件。</w:t>
      </w:r>
    </w:p>
    <w:p w14:paraId="1669FFA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79E71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4455359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9516D7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6C7ABEE8">
      <w:pPr>
        <w:spacing w:line="400" w:lineRule="exact"/>
        <w:ind w:left="567"/>
        <w:jc w:val="both"/>
        <w:rPr>
          <w:rFonts w:ascii="宋体" w:hAnsi="宋体" w:cs="宋体"/>
          <w:color w:val="auto"/>
          <w:szCs w:val="21"/>
          <w:highlight w:val="none"/>
        </w:rPr>
      </w:pPr>
    </w:p>
    <w:p w14:paraId="684B67AB">
      <w:pPr>
        <w:pStyle w:val="2"/>
        <w:rPr>
          <w:color w:val="auto"/>
          <w:highlight w:val="none"/>
        </w:rPr>
      </w:pPr>
      <w:bookmarkStart w:id="99" w:name="_Toc24312"/>
      <w:bookmarkStart w:id="100" w:name="_Toc30426"/>
      <w:r>
        <w:rPr>
          <w:rFonts w:hint="eastAsia"/>
          <w:color w:val="auto"/>
          <w:highlight w:val="none"/>
        </w:rPr>
        <w:t>7.关于分支机构投标</w:t>
      </w:r>
      <w:bookmarkEnd w:id="99"/>
      <w:bookmarkEnd w:id="100"/>
    </w:p>
    <w:p w14:paraId="359F7B72">
      <w:pPr>
        <w:pStyle w:val="28"/>
        <w:numPr>
          <w:ilvl w:val="0"/>
          <w:numId w:val="4"/>
        </w:numPr>
        <w:spacing w:line="400" w:lineRule="exact"/>
        <w:ind w:firstLineChars="0"/>
        <w:jc w:val="both"/>
        <w:rPr>
          <w:rFonts w:ascii="宋体" w:hAnsi="宋体" w:cs="宋体"/>
          <w:vanish/>
          <w:color w:val="auto"/>
          <w:szCs w:val="21"/>
          <w:highlight w:val="none"/>
        </w:rPr>
      </w:pPr>
      <w:bookmarkStart w:id="101" w:name="EB389f116341dd4693875bc7987e7327f3"/>
    </w:p>
    <w:p w14:paraId="47A8C91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01"/>
    </w:p>
    <w:p w14:paraId="5E486E89">
      <w:pPr>
        <w:spacing w:line="360" w:lineRule="auto"/>
        <w:rPr>
          <w:rFonts w:ascii="宋体" w:hAnsi="宋体" w:cs="宋体"/>
          <w:color w:val="auto"/>
          <w:szCs w:val="21"/>
          <w:highlight w:val="none"/>
        </w:rPr>
      </w:pPr>
    </w:p>
    <w:p w14:paraId="423BD0BB">
      <w:pPr>
        <w:pStyle w:val="2"/>
        <w:rPr>
          <w:color w:val="auto"/>
          <w:highlight w:val="none"/>
        </w:rPr>
      </w:pPr>
      <w:bookmarkStart w:id="102" w:name="_Toc30423"/>
      <w:bookmarkStart w:id="103" w:name="_Toc15490"/>
      <w:r>
        <w:rPr>
          <w:rFonts w:hint="eastAsia"/>
          <w:color w:val="auto"/>
          <w:highlight w:val="none"/>
        </w:rPr>
        <w:t>8.招标文件的组成</w:t>
      </w:r>
      <w:bookmarkEnd w:id="102"/>
      <w:bookmarkEnd w:id="103"/>
    </w:p>
    <w:p w14:paraId="7A8C3B1E">
      <w:pPr>
        <w:pStyle w:val="28"/>
        <w:numPr>
          <w:ilvl w:val="0"/>
          <w:numId w:val="4"/>
        </w:numPr>
        <w:spacing w:line="400" w:lineRule="exact"/>
        <w:ind w:firstLineChars="0"/>
        <w:jc w:val="both"/>
        <w:rPr>
          <w:rFonts w:ascii="宋体" w:hAnsi="宋体" w:cs="宋体"/>
          <w:vanish/>
          <w:color w:val="auto"/>
          <w:szCs w:val="21"/>
          <w:highlight w:val="none"/>
        </w:rPr>
      </w:pPr>
    </w:p>
    <w:p w14:paraId="79C62E2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18A74A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0EF107A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4CEABD1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E842A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57DC59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96201A6">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0A40C9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56463F0A">
      <w:pPr>
        <w:widowControl/>
        <w:adjustRightInd w:val="0"/>
        <w:snapToGrid w:val="0"/>
        <w:spacing w:line="400" w:lineRule="exact"/>
        <w:rPr>
          <w:rFonts w:ascii="宋体" w:hAnsi="宋体" w:cs="宋体"/>
          <w:color w:val="auto"/>
          <w:szCs w:val="21"/>
          <w:highlight w:val="none"/>
        </w:rPr>
      </w:pPr>
    </w:p>
    <w:p w14:paraId="113AD048">
      <w:pPr>
        <w:pStyle w:val="2"/>
        <w:rPr>
          <w:color w:val="auto"/>
          <w:highlight w:val="none"/>
        </w:rPr>
      </w:pPr>
      <w:bookmarkStart w:id="104" w:name="_Toc7789"/>
      <w:bookmarkStart w:id="105" w:name="_Toc21026"/>
      <w:r>
        <w:rPr>
          <w:rFonts w:hint="eastAsia"/>
          <w:color w:val="auto"/>
          <w:highlight w:val="none"/>
        </w:rPr>
        <w:t>9.招标文件的澄清或修改</w:t>
      </w:r>
      <w:bookmarkEnd w:id="104"/>
      <w:bookmarkEnd w:id="105"/>
    </w:p>
    <w:p w14:paraId="6105B061">
      <w:pPr>
        <w:pStyle w:val="28"/>
        <w:numPr>
          <w:ilvl w:val="0"/>
          <w:numId w:val="4"/>
        </w:numPr>
        <w:spacing w:line="400" w:lineRule="exact"/>
        <w:ind w:firstLineChars="0"/>
        <w:jc w:val="both"/>
        <w:rPr>
          <w:rFonts w:ascii="宋体" w:hAnsi="宋体" w:cs="宋体"/>
          <w:vanish/>
          <w:color w:val="auto"/>
          <w:szCs w:val="21"/>
          <w:highlight w:val="none"/>
        </w:rPr>
      </w:pPr>
    </w:p>
    <w:p w14:paraId="5AF4CF3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可以对已发出的招标文件进行必要的澄清或者修改。澄清或者修改的内容可能影响投标文件编制的，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应当在投标截止时间至少15日前，以书面形式通知所有获取招标文件的潜在投标人；不足15日的，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应当顺延提交投标文件的截止时间。</w:t>
      </w:r>
    </w:p>
    <w:p w14:paraId="16C3644D">
      <w:pPr>
        <w:pStyle w:val="8"/>
        <w:ind w:left="0"/>
        <w:rPr>
          <w:color w:val="auto"/>
          <w:sz w:val="21"/>
          <w:szCs w:val="21"/>
          <w:highlight w:val="none"/>
        </w:rPr>
      </w:pPr>
    </w:p>
    <w:p w14:paraId="57826894">
      <w:pPr>
        <w:pStyle w:val="2"/>
        <w:rPr>
          <w:color w:val="auto"/>
          <w:highlight w:val="none"/>
        </w:rPr>
      </w:pPr>
      <w:bookmarkStart w:id="106" w:name="_Toc12645"/>
      <w:bookmarkStart w:id="107" w:name="_Toc708"/>
      <w:r>
        <w:rPr>
          <w:rFonts w:hint="eastAsia"/>
          <w:color w:val="auto"/>
          <w:highlight w:val="none"/>
        </w:rPr>
        <w:t>10.投标文件的语言及度量衡单位</w:t>
      </w:r>
      <w:bookmarkEnd w:id="106"/>
      <w:bookmarkEnd w:id="107"/>
    </w:p>
    <w:p w14:paraId="7755EC68">
      <w:pPr>
        <w:pStyle w:val="28"/>
        <w:numPr>
          <w:ilvl w:val="0"/>
          <w:numId w:val="4"/>
        </w:numPr>
        <w:spacing w:line="400" w:lineRule="exact"/>
        <w:ind w:firstLineChars="0"/>
        <w:jc w:val="both"/>
        <w:rPr>
          <w:rFonts w:ascii="宋体" w:hAnsi="宋体" w:cs="宋体"/>
          <w:vanish/>
          <w:color w:val="auto"/>
          <w:szCs w:val="21"/>
          <w:highlight w:val="none"/>
        </w:rPr>
      </w:pPr>
    </w:p>
    <w:p w14:paraId="3E6ED82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所有往来文件中的所有计量单位均应采用中华人民共和国法定计量单位。</w:t>
      </w:r>
    </w:p>
    <w:p w14:paraId="7F7085DC">
      <w:pPr>
        <w:spacing w:line="400" w:lineRule="exact"/>
        <w:ind w:left="567"/>
        <w:jc w:val="both"/>
        <w:rPr>
          <w:rFonts w:ascii="宋体" w:hAnsi="宋体" w:cs="宋体"/>
          <w:color w:val="auto"/>
          <w:szCs w:val="21"/>
          <w:highlight w:val="none"/>
        </w:rPr>
      </w:pPr>
    </w:p>
    <w:p w14:paraId="005C342A">
      <w:pPr>
        <w:pStyle w:val="2"/>
        <w:rPr>
          <w:color w:val="auto"/>
          <w:highlight w:val="none"/>
        </w:rPr>
      </w:pPr>
      <w:bookmarkStart w:id="108" w:name="_Toc382049103"/>
      <w:bookmarkStart w:id="109" w:name="_Toc307934854"/>
      <w:bookmarkStart w:id="110" w:name="_Toc303084256"/>
      <w:bookmarkStart w:id="111" w:name="_Toc29420"/>
      <w:bookmarkStart w:id="112" w:name="_Toc30560"/>
      <w:bookmarkStart w:id="113" w:name="_Toc28866"/>
      <w:r>
        <w:rPr>
          <w:rFonts w:hint="eastAsia"/>
          <w:color w:val="auto"/>
          <w:highlight w:val="none"/>
        </w:rPr>
        <w:t>11.投标文件的组成</w:t>
      </w:r>
      <w:bookmarkEnd w:id="108"/>
      <w:bookmarkEnd w:id="109"/>
      <w:bookmarkEnd w:id="110"/>
      <w:bookmarkEnd w:id="111"/>
      <w:bookmarkEnd w:id="112"/>
      <w:bookmarkEnd w:id="113"/>
    </w:p>
    <w:p w14:paraId="31BBC68B">
      <w:pPr>
        <w:pStyle w:val="28"/>
        <w:numPr>
          <w:ilvl w:val="0"/>
          <w:numId w:val="4"/>
        </w:numPr>
        <w:spacing w:line="400" w:lineRule="exact"/>
        <w:ind w:firstLineChars="0"/>
        <w:jc w:val="both"/>
        <w:rPr>
          <w:rFonts w:ascii="宋体" w:hAnsi="宋体" w:cs="宋体"/>
          <w:vanish/>
          <w:color w:val="auto"/>
          <w:szCs w:val="21"/>
          <w:highlight w:val="none"/>
        </w:rPr>
      </w:pPr>
    </w:p>
    <w:p w14:paraId="1D20C18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499CD13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auto"/>
          <w:szCs w:val="21"/>
          <w:highlight w:val="none"/>
        </w:rPr>
      </w:pPr>
    </w:p>
    <w:p w14:paraId="337DF166">
      <w:pPr>
        <w:pStyle w:val="2"/>
        <w:rPr>
          <w:color w:val="auto"/>
          <w:highlight w:val="none"/>
        </w:rPr>
      </w:pPr>
      <w:bookmarkStart w:id="114" w:name="_Toc11356"/>
      <w:bookmarkStart w:id="115" w:name="_Toc5268"/>
      <w:r>
        <w:rPr>
          <w:rFonts w:hint="eastAsia"/>
          <w:color w:val="auto"/>
          <w:highlight w:val="none"/>
        </w:rPr>
        <w:t>12.投标文件编制</w:t>
      </w:r>
      <w:bookmarkEnd w:id="114"/>
      <w:bookmarkEnd w:id="115"/>
    </w:p>
    <w:p w14:paraId="07AB223A">
      <w:pPr>
        <w:pStyle w:val="28"/>
        <w:numPr>
          <w:ilvl w:val="0"/>
          <w:numId w:val="4"/>
        </w:numPr>
        <w:spacing w:line="400" w:lineRule="exact"/>
        <w:ind w:firstLineChars="0"/>
        <w:jc w:val="both"/>
        <w:rPr>
          <w:rFonts w:ascii="宋体" w:hAnsi="宋体" w:cs="宋体"/>
          <w:vanish/>
          <w:color w:val="auto"/>
          <w:szCs w:val="21"/>
          <w:highlight w:val="none"/>
        </w:rPr>
      </w:pPr>
      <w:bookmarkStart w:id="116" w:name="_Toc303084258"/>
    </w:p>
    <w:p w14:paraId="091035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及采购监督管理部门等对其中任何资料进行核实的要求。</w:t>
      </w:r>
    </w:p>
    <w:p w14:paraId="24E329A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03F81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5E54B8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116"/>
    <w:p w14:paraId="47E2A6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4DB91EC">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7809A93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00222B90">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A0EFE4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24CF70E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60B1FE8C">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3986715F">
      <w:pPr>
        <w:pStyle w:val="2"/>
        <w:rPr>
          <w:color w:val="auto"/>
          <w:highlight w:val="none"/>
        </w:rPr>
      </w:pPr>
      <w:bookmarkStart w:id="117" w:name="_Toc28034"/>
      <w:bookmarkStart w:id="118" w:name="_Toc24635"/>
      <w:r>
        <w:rPr>
          <w:rFonts w:hint="eastAsia"/>
          <w:color w:val="auto"/>
          <w:highlight w:val="none"/>
        </w:rPr>
        <w:t>13.投标报价说明</w:t>
      </w:r>
      <w:bookmarkEnd w:id="117"/>
      <w:bookmarkEnd w:id="118"/>
    </w:p>
    <w:p w14:paraId="7F5EA824">
      <w:pPr>
        <w:pStyle w:val="28"/>
        <w:numPr>
          <w:ilvl w:val="0"/>
          <w:numId w:val="4"/>
        </w:numPr>
        <w:spacing w:line="400" w:lineRule="exact"/>
        <w:ind w:firstLineChars="0"/>
        <w:jc w:val="both"/>
        <w:rPr>
          <w:rFonts w:ascii="宋体" w:hAnsi="宋体" w:cs="宋体"/>
          <w:vanish/>
          <w:color w:val="auto"/>
          <w:szCs w:val="21"/>
          <w:highlight w:val="none"/>
        </w:rPr>
      </w:pPr>
    </w:p>
    <w:p w14:paraId="70A6F56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53F36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5C5AF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B2868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1744FE84">
      <w:pPr>
        <w:spacing w:line="400" w:lineRule="exact"/>
        <w:rPr>
          <w:rFonts w:ascii="宋体" w:hAnsi="宋体" w:cs="宋体"/>
          <w:color w:val="auto"/>
          <w:szCs w:val="21"/>
          <w:highlight w:val="none"/>
        </w:rPr>
      </w:pPr>
    </w:p>
    <w:p w14:paraId="72642503">
      <w:pPr>
        <w:pStyle w:val="2"/>
        <w:rPr>
          <w:color w:val="auto"/>
          <w:highlight w:val="none"/>
        </w:rPr>
      </w:pPr>
      <w:bookmarkStart w:id="119" w:name="_Toc34"/>
      <w:bookmarkStart w:id="120" w:name="_Toc367"/>
      <w:r>
        <w:rPr>
          <w:rFonts w:hint="eastAsia"/>
          <w:color w:val="auto"/>
          <w:highlight w:val="none"/>
        </w:rPr>
        <w:t>14.投标人所提供的服务或货物的证明文件</w:t>
      </w:r>
      <w:bookmarkEnd w:id="119"/>
      <w:bookmarkEnd w:id="120"/>
    </w:p>
    <w:p w14:paraId="77B82447">
      <w:pPr>
        <w:pStyle w:val="28"/>
        <w:numPr>
          <w:ilvl w:val="0"/>
          <w:numId w:val="4"/>
        </w:numPr>
        <w:spacing w:line="400" w:lineRule="exact"/>
        <w:ind w:firstLineChars="0"/>
        <w:jc w:val="both"/>
        <w:rPr>
          <w:rFonts w:ascii="宋体" w:hAnsi="宋体" w:cs="宋体"/>
          <w:vanish/>
          <w:color w:val="auto"/>
          <w:szCs w:val="21"/>
          <w:highlight w:val="none"/>
        </w:rPr>
      </w:pPr>
    </w:p>
    <w:p w14:paraId="73C93FB9">
      <w:pPr>
        <w:numPr>
          <w:ilvl w:val="1"/>
          <w:numId w:val="4"/>
        </w:numPr>
        <w:spacing w:line="400" w:lineRule="exact"/>
        <w:jc w:val="both"/>
        <w:rPr>
          <w:rFonts w:ascii="宋体" w:hAnsi="宋体" w:cs="宋体"/>
          <w:color w:val="auto"/>
          <w:szCs w:val="21"/>
          <w:highlight w:val="none"/>
        </w:rPr>
      </w:pPr>
      <w:bookmarkStart w:id="121" w:name="_Hlt107925638"/>
      <w:bookmarkEnd w:id="121"/>
      <w:bookmarkStart w:id="122" w:name="_Hlt107925668"/>
      <w:bookmarkEnd w:id="12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8"/>
        <w:spacing w:line="400" w:lineRule="exact"/>
        <w:ind w:left="425" w:firstLine="0" w:firstLineChars="0"/>
        <w:jc w:val="both"/>
        <w:rPr>
          <w:rFonts w:ascii="宋体" w:hAnsi="宋体" w:cs="宋体"/>
          <w:color w:val="auto"/>
          <w:szCs w:val="21"/>
          <w:highlight w:val="none"/>
        </w:rPr>
      </w:pPr>
    </w:p>
    <w:p w14:paraId="78A6D617">
      <w:pPr>
        <w:pStyle w:val="2"/>
        <w:rPr>
          <w:color w:val="auto"/>
          <w:highlight w:val="none"/>
        </w:rPr>
      </w:pPr>
      <w:bookmarkStart w:id="123" w:name="_Toc10940"/>
      <w:bookmarkStart w:id="124" w:name="_Toc1930"/>
      <w:r>
        <w:rPr>
          <w:rFonts w:hint="eastAsia"/>
          <w:color w:val="auto"/>
          <w:highlight w:val="none"/>
        </w:rPr>
        <w:t>15.★投标有效期</w:t>
      </w:r>
      <w:bookmarkEnd w:id="123"/>
      <w:bookmarkEnd w:id="124"/>
    </w:p>
    <w:p w14:paraId="34766330">
      <w:pPr>
        <w:pStyle w:val="28"/>
        <w:numPr>
          <w:ilvl w:val="0"/>
          <w:numId w:val="4"/>
        </w:numPr>
        <w:spacing w:line="400" w:lineRule="exact"/>
        <w:ind w:firstLineChars="0"/>
        <w:jc w:val="both"/>
        <w:rPr>
          <w:rFonts w:ascii="宋体" w:hAnsi="宋体" w:cs="宋体"/>
          <w:vanish/>
          <w:color w:val="auto"/>
          <w:szCs w:val="21"/>
          <w:highlight w:val="none"/>
        </w:rPr>
      </w:pPr>
    </w:p>
    <w:p w14:paraId="07F74D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BDEBDDA">
      <w:pPr>
        <w:spacing w:line="400" w:lineRule="exact"/>
        <w:ind w:left="567"/>
        <w:jc w:val="both"/>
        <w:rPr>
          <w:rFonts w:ascii="宋体" w:hAnsi="宋体" w:cs="宋体"/>
          <w:color w:val="auto"/>
          <w:szCs w:val="21"/>
          <w:highlight w:val="none"/>
        </w:rPr>
      </w:pPr>
    </w:p>
    <w:p w14:paraId="7F2A5E5C">
      <w:pPr>
        <w:pStyle w:val="2"/>
        <w:rPr>
          <w:rFonts w:hint="eastAsia" w:eastAsia="宋体"/>
          <w:color w:val="auto"/>
          <w:highlight w:val="none"/>
          <w:lang w:eastAsia="zh-CN"/>
        </w:rPr>
      </w:pPr>
      <w:bookmarkStart w:id="125" w:name="_Toc5483"/>
      <w:bookmarkStart w:id="126" w:name="_Toc5503"/>
      <w:r>
        <w:rPr>
          <w:rFonts w:hint="eastAsia"/>
          <w:color w:val="auto"/>
          <w:highlight w:val="none"/>
        </w:rPr>
        <w:t>16.★投标保证金</w:t>
      </w:r>
      <w:bookmarkEnd w:id="125"/>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bookmarkEnd w:id="126"/>
    </w:p>
    <w:p w14:paraId="509A78A6">
      <w:pPr>
        <w:pStyle w:val="28"/>
        <w:numPr>
          <w:ilvl w:val="0"/>
          <w:numId w:val="4"/>
        </w:numPr>
        <w:spacing w:line="400" w:lineRule="exact"/>
        <w:ind w:firstLineChars="0"/>
        <w:jc w:val="both"/>
        <w:rPr>
          <w:rFonts w:ascii="宋体" w:hAnsi="宋体" w:cs="宋体"/>
          <w:vanish/>
          <w:color w:val="auto"/>
          <w:szCs w:val="21"/>
          <w:highlight w:val="none"/>
        </w:rPr>
      </w:pPr>
      <w:bookmarkStart w:id="127" w:name="_Ref179619405"/>
    </w:p>
    <w:p w14:paraId="44DCA8D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127"/>
    </w:p>
    <w:p w14:paraId="4010570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3BAA7E0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0090EF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 xml:space="preserve">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6587BE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14:paraId="149AAEE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3342B68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0DF19A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24C9085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2F273CC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32A567C">
      <w:pPr>
        <w:numPr>
          <w:ilvl w:val="1"/>
          <w:numId w:val="4"/>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434B0A65">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623FA7B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31A8573F">
      <w:pPr>
        <w:pStyle w:val="8"/>
        <w:rPr>
          <w:color w:val="auto"/>
          <w:sz w:val="21"/>
          <w:szCs w:val="21"/>
          <w:highlight w:val="none"/>
        </w:rPr>
      </w:pPr>
    </w:p>
    <w:p w14:paraId="5964032E">
      <w:pPr>
        <w:pStyle w:val="2"/>
        <w:rPr>
          <w:color w:val="auto"/>
          <w:highlight w:val="none"/>
        </w:rPr>
      </w:pPr>
      <w:bookmarkStart w:id="128" w:name="_Toc382049111"/>
      <w:bookmarkStart w:id="129" w:name="_Toc16724"/>
      <w:bookmarkStart w:id="130" w:name="_Toc24997"/>
      <w:bookmarkStart w:id="131" w:name="_Toc303084264"/>
      <w:bookmarkStart w:id="132" w:name="_Toc12926"/>
      <w:r>
        <w:rPr>
          <w:rFonts w:hint="eastAsia"/>
          <w:color w:val="auto"/>
          <w:highlight w:val="none"/>
        </w:rPr>
        <w:t>17.投标文件的装订，签署，密封和标记</w:t>
      </w:r>
      <w:bookmarkEnd w:id="128"/>
      <w:bookmarkEnd w:id="129"/>
      <w:bookmarkEnd w:id="130"/>
      <w:bookmarkEnd w:id="131"/>
      <w:bookmarkEnd w:id="132"/>
    </w:p>
    <w:p w14:paraId="55A519AC">
      <w:pPr>
        <w:pStyle w:val="28"/>
        <w:numPr>
          <w:ilvl w:val="0"/>
          <w:numId w:val="4"/>
        </w:numPr>
        <w:spacing w:line="400" w:lineRule="exact"/>
        <w:ind w:firstLineChars="0"/>
        <w:jc w:val="both"/>
        <w:rPr>
          <w:rFonts w:ascii="宋体" w:hAnsi="宋体" w:cs="宋体"/>
          <w:vanish/>
          <w:color w:val="auto"/>
          <w:szCs w:val="21"/>
          <w:highlight w:val="none"/>
        </w:rPr>
      </w:pPr>
    </w:p>
    <w:p w14:paraId="70BC45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584A7C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7A1A41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5634C7F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24C5D0C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BA41B3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12C9803C">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2F6E145E">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DED65B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2DBDFD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将拒绝接收出现以下情况的投标文件：</w:t>
      </w:r>
    </w:p>
    <w:p w14:paraId="7A338A09">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DA0C284">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689DA0DF">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65D271A">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8742F71">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00323A86">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12FFBE3B">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39DFD7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对所有投标文件的误投或提前启封概不负责。</w:t>
      </w:r>
    </w:p>
    <w:p w14:paraId="7A2A74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3B6472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34AB821A">
      <w:pPr>
        <w:spacing w:line="400" w:lineRule="exact"/>
        <w:rPr>
          <w:rFonts w:ascii="宋体" w:hAnsi="宋体" w:cs="宋体"/>
          <w:color w:val="auto"/>
          <w:szCs w:val="21"/>
          <w:highlight w:val="none"/>
        </w:rPr>
      </w:pPr>
    </w:p>
    <w:p w14:paraId="4A173754">
      <w:pPr>
        <w:pStyle w:val="2"/>
        <w:rPr>
          <w:color w:val="auto"/>
          <w:highlight w:val="none"/>
        </w:rPr>
      </w:pPr>
      <w:bookmarkStart w:id="133" w:name="_Toc30088"/>
      <w:bookmarkStart w:id="134" w:name="_Toc20440"/>
      <w:r>
        <w:rPr>
          <w:rFonts w:hint="eastAsia"/>
          <w:color w:val="auto"/>
          <w:highlight w:val="none"/>
        </w:rPr>
        <w:t>18.迟交的投标文件</w:t>
      </w:r>
      <w:bookmarkEnd w:id="133"/>
      <w:bookmarkEnd w:id="134"/>
    </w:p>
    <w:p w14:paraId="5D09E1EE">
      <w:pPr>
        <w:pStyle w:val="28"/>
        <w:numPr>
          <w:ilvl w:val="0"/>
          <w:numId w:val="4"/>
        </w:numPr>
        <w:spacing w:line="400" w:lineRule="exact"/>
        <w:ind w:firstLineChars="0"/>
        <w:jc w:val="both"/>
        <w:rPr>
          <w:rFonts w:ascii="宋体" w:hAnsi="宋体" w:cs="宋体"/>
          <w:vanish/>
          <w:color w:val="auto"/>
          <w:szCs w:val="21"/>
          <w:highlight w:val="none"/>
        </w:rPr>
      </w:pPr>
    </w:p>
    <w:p w14:paraId="17DF5B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将拒绝接收。</w:t>
      </w:r>
    </w:p>
    <w:p w14:paraId="28FBCCB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将拒绝接收。</w:t>
      </w:r>
    </w:p>
    <w:p w14:paraId="68E2193C">
      <w:pPr>
        <w:spacing w:line="400" w:lineRule="exact"/>
        <w:rPr>
          <w:rFonts w:ascii="宋体" w:hAnsi="宋体" w:cs="宋体"/>
          <w:color w:val="auto"/>
          <w:szCs w:val="21"/>
          <w:highlight w:val="none"/>
        </w:rPr>
      </w:pPr>
    </w:p>
    <w:p w14:paraId="138A99C1">
      <w:pPr>
        <w:pStyle w:val="2"/>
        <w:rPr>
          <w:color w:val="auto"/>
          <w:highlight w:val="none"/>
        </w:rPr>
      </w:pPr>
      <w:bookmarkStart w:id="135" w:name="_Toc32756"/>
      <w:bookmarkStart w:id="136" w:name="_Toc15912"/>
      <w:r>
        <w:rPr>
          <w:rFonts w:hint="eastAsia"/>
          <w:color w:val="auto"/>
          <w:highlight w:val="none"/>
        </w:rPr>
        <w:t>19.投标样品、投标演示（如有要求）</w:t>
      </w:r>
      <w:bookmarkEnd w:id="135"/>
      <w:bookmarkEnd w:id="136"/>
    </w:p>
    <w:p w14:paraId="2EBF32C7">
      <w:pPr>
        <w:pStyle w:val="28"/>
        <w:numPr>
          <w:ilvl w:val="0"/>
          <w:numId w:val="4"/>
        </w:numPr>
        <w:spacing w:line="400" w:lineRule="exact"/>
        <w:ind w:firstLineChars="0"/>
        <w:jc w:val="both"/>
        <w:rPr>
          <w:rFonts w:ascii="宋体" w:hAnsi="宋体" w:cs="宋体"/>
          <w:vanish/>
          <w:color w:val="auto"/>
          <w:szCs w:val="21"/>
          <w:highlight w:val="none"/>
        </w:rPr>
      </w:pPr>
    </w:p>
    <w:p w14:paraId="7733452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可以要求投标人提供本服务项目涉及的部分设备或产品样品，投标人在投标时应提交《样品清单》。</w:t>
      </w:r>
    </w:p>
    <w:p w14:paraId="240DDAE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408F9C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领取投标样品，逾期不领，</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将不承担样品的保管责任，由此引发的样品丢失、毁损，</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不予负责。</w:t>
      </w:r>
    </w:p>
    <w:p w14:paraId="51CF0E4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或采购单位操作完成。</w:t>
      </w:r>
    </w:p>
    <w:p w14:paraId="109FFA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auto"/>
          <w:szCs w:val="21"/>
          <w:highlight w:val="none"/>
        </w:rPr>
      </w:pPr>
    </w:p>
    <w:p w14:paraId="413F4DA1">
      <w:pPr>
        <w:pStyle w:val="2"/>
        <w:rPr>
          <w:color w:val="auto"/>
          <w:highlight w:val="none"/>
        </w:rPr>
      </w:pPr>
      <w:bookmarkStart w:id="137" w:name="_Toc28098"/>
      <w:bookmarkStart w:id="138" w:name="_Toc303084265"/>
      <w:bookmarkStart w:id="139" w:name="_Toc382049112"/>
      <w:bookmarkStart w:id="140" w:name="_Toc9777"/>
      <w:bookmarkStart w:id="141" w:name="_Toc26517"/>
      <w:r>
        <w:rPr>
          <w:rFonts w:hint="eastAsia"/>
          <w:color w:val="auto"/>
          <w:highlight w:val="none"/>
        </w:rPr>
        <w:t>20.投标截止期</w:t>
      </w:r>
      <w:bookmarkEnd w:id="137"/>
      <w:bookmarkEnd w:id="138"/>
      <w:bookmarkEnd w:id="139"/>
      <w:bookmarkEnd w:id="140"/>
      <w:bookmarkEnd w:id="141"/>
    </w:p>
    <w:p w14:paraId="7A3CF8E8">
      <w:pPr>
        <w:pStyle w:val="28"/>
        <w:numPr>
          <w:ilvl w:val="0"/>
          <w:numId w:val="4"/>
        </w:numPr>
        <w:spacing w:line="400" w:lineRule="exact"/>
        <w:ind w:firstLineChars="0"/>
        <w:jc w:val="both"/>
        <w:rPr>
          <w:rFonts w:ascii="宋体" w:hAnsi="宋体" w:cs="宋体"/>
          <w:vanish/>
          <w:color w:val="auto"/>
          <w:szCs w:val="21"/>
          <w:highlight w:val="none"/>
        </w:rPr>
      </w:pPr>
    </w:p>
    <w:p w14:paraId="140034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2EC3093C">
      <w:pPr>
        <w:spacing w:line="400" w:lineRule="exact"/>
        <w:rPr>
          <w:rFonts w:ascii="宋体" w:hAnsi="宋体" w:cs="宋体"/>
          <w:color w:val="auto"/>
          <w:szCs w:val="21"/>
          <w:highlight w:val="none"/>
        </w:rPr>
      </w:pPr>
    </w:p>
    <w:p w14:paraId="672347AE">
      <w:pPr>
        <w:pStyle w:val="2"/>
        <w:rPr>
          <w:color w:val="auto"/>
          <w:highlight w:val="none"/>
        </w:rPr>
      </w:pPr>
      <w:bookmarkStart w:id="142" w:name="_Toc22260"/>
      <w:bookmarkStart w:id="143" w:name="_Toc22407"/>
      <w:r>
        <w:rPr>
          <w:rFonts w:hint="eastAsia"/>
          <w:color w:val="auto"/>
          <w:highlight w:val="none"/>
        </w:rPr>
        <w:t>21.投标文件的补充、修改与撤回</w:t>
      </w:r>
      <w:bookmarkEnd w:id="142"/>
      <w:bookmarkEnd w:id="143"/>
    </w:p>
    <w:p w14:paraId="09870F9B">
      <w:pPr>
        <w:pStyle w:val="28"/>
        <w:numPr>
          <w:ilvl w:val="0"/>
          <w:numId w:val="4"/>
        </w:numPr>
        <w:spacing w:line="400" w:lineRule="exact"/>
        <w:ind w:firstLineChars="0"/>
        <w:jc w:val="both"/>
        <w:rPr>
          <w:rFonts w:ascii="宋体" w:hAnsi="宋体" w:cs="宋体"/>
          <w:vanish/>
          <w:color w:val="auto"/>
          <w:szCs w:val="21"/>
          <w:highlight w:val="none"/>
        </w:rPr>
      </w:pPr>
    </w:p>
    <w:p w14:paraId="365990D1">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。在提交投标文件截止时间之后，投标人不得对其投标文件做出任何的补充和修改。</w:t>
      </w:r>
    </w:p>
    <w:p w14:paraId="192C83D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42EC53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E7FCEB9">
      <w:pPr>
        <w:pStyle w:val="8"/>
        <w:spacing w:line="360" w:lineRule="auto"/>
        <w:rPr>
          <w:color w:val="auto"/>
          <w:sz w:val="21"/>
          <w:szCs w:val="21"/>
          <w:highlight w:val="none"/>
        </w:rPr>
      </w:pPr>
    </w:p>
    <w:p w14:paraId="59F52EAC">
      <w:pPr>
        <w:pStyle w:val="5"/>
        <w:overflowPunct w:val="0"/>
        <w:spacing w:before="0" w:after="0" w:line="400" w:lineRule="exact"/>
        <w:rPr>
          <w:rFonts w:ascii="宋体" w:hAnsi="宋体" w:cs="宋体"/>
          <w:color w:val="auto"/>
          <w:sz w:val="21"/>
          <w:szCs w:val="21"/>
          <w:highlight w:val="none"/>
        </w:rPr>
      </w:pPr>
      <w:bookmarkStart w:id="144" w:name="_Toc174"/>
      <w:r>
        <w:rPr>
          <w:rFonts w:hint="eastAsia" w:ascii="宋体" w:hAnsi="宋体" w:cs="宋体"/>
          <w:color w:val="auto"/>
          <w:sz w:val="21"/>
          <w:szCs w:val="21"/>
          <w:highlight w:val="none"/>
        </w:rPr>
        <w:t>22.开标</w:t>
      </w:r>
      <w:bookmarkEnd w:id="144"/>
    </w:p>
    <w:p w14:paraId="69B3E010">
      <w:pPr>
        <w:pStyle w:val="28"/>
        <w:numPr>
          <w:ilvl w:val="0"/>
          <w:numId w:val="4"/>
        </w:numPr>
        <w:spacing w:line="400" w:lineRule="exact"/>
        <w:ind w:firstLineChars="0"/>
        <w:jc w:val="both"/>
        <w:rPr>
          <w:rFonts w:ascii="宋体" w:hAnsi="宋体" w:cs="宋体"/>
          <w:vanish/>
          <w:color w:val="auto"/>
          <w:szCs w:val="21"/>
          <w:highlight w:val="none"/>
        </w:rPr>
      </w:pPr>
    </w:p>
    <w:p w14:paraId="4E4F0BB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按本招标文件所规定的时间和地点公开开标，并邀请所有投标人代表参加。</w:t>
      </w:r>
    </w:p>
    <w:p w14:paraId="014FF9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F465D3E">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主持，投标人的法定代表人或其授权代表携带有效身份证明准时参加开标会并签名报到。</w:t>
      </w:r>
    </w:p>
    <w:p w14:paraId="4A03581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工作人员当众拆封，宣布投标人名称、投标价格和招标文件规定的需要宣布的其他内容；</w:t>
      </w:r>
    </w:p>
    <w:p w14:paraId="0993773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相关工作人员有需要回避的情形的，应当场提出询问或者回避申请。开标现场未提出异议的视为认同开标结果。</w:t>
      </w:r>
    </w:p>
    <w:p w14:paraId="282E391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05E3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8FE4B0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负责记录，由参加开标的各投标人代表和相关工作人员签字确认。</w:t>
      </w:r>
    </w:p>
    <w:p w14:paraId="17133F36">
      <w:pPr>
        <w:spacing w:line="400" w:lineRule="exact"/>
        <w:ind w:left="567"/>
        <w:jc w:val="both"/>
        <w:rPr>
          <w:rFonts w:ascii="宋体" w:hAnsi="宋体" w:cs="宋体"/>
          <w:color w:val="auto"/>
          <w:szCs w:val="21"/>
          <w:highlight w:val="none"/>
        </w:rPr>
      </w:pPr>
    </w:p>
    <w:p w14:paraId="63F2D45F">
      <w:pPr>
        <w:pStyle w:val="2"/>
        <w:rPr>
          <w:color w:val="auto"/>
          <w:highlight w:val="none"/>
        </w:rPr>
      </w:pPr>
      <w:bookmarkStart w:id="145" w:name="_Toc10020"/>
      <w:bookmarkStart w:id="146" w:name="_Toc318"/>
      <w:r>
        <w:rPr>
          <w:rFonts w:hint="eastAsia"/>
          <w:color w:val="auto"/>
          <w:highlight w:val="none"/>
        </w:rPr>
        <w:t>23.评标委员会及评标方法</w:t>
      </w:r>
      <w:bookmarkEnd w:id="145"/>
      <w:bookmarkEnd w:id="146"/>
    </w:p>
    <w:p w14:paraId="4CE4C9F3">
      <w:pPr>
        <w:pStyle w:val="28"/>
        <w:numPr>
          <w:ilvl w:val="0"/>
          <w:numId w:val="4"/>
        </w:numPr>
        <w:spacing w:line="400" w:lineRule="exact"/>
        <w:ind w:firstLineChars="0"/>
        <w:jc w:val="both"/>
        <w:rPr>
          <w:rFonts w:ascii="宋体" w:hAnsi="宋体" w:cs="宋体"/>
          <w:vanish/>
          <w:color w:val="auto"/>
          <w:szCs w:val="21"/>
          <w:highlight w:val="none"/>
        </w:rPr>
      </w:pPr>
    </w:p>
    <w:p w14:paraId="3EF9914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1F4243F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2CCD81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19EF2EA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auto"/>
          <w:szCs w:val="21"/>
          <w:highlight w:val="none"/>
        </w:rPr>
      </w:pPr>
    </w:p>
    <w:p w14:paraId="54FA8856">
      <w:pPr>
        <w:pStyle w:val="2"/>
        <w:rPr>
          <w:color w:val="auto"/>
          <w:highlight w:val="none"/>
        </w:rPr>
      </w:pPr>
      <w:bookmarkStart w:id="147" w:name="_Toc24097"/>
      <w:bookmarkStart w:id="148" w:name="_Toc21911"/>
      <w:r>
        <w:rPr>
          <w:rFonts w:hint="eastAsia"/>
          <w:color w:val="auto"/>
          <w:highlight w:val="none"/>
        </w:rPr>
        <w:t>24.评审原则及评标过程的保密</w:t>
      </w:r>
      <w:bookmarkEnd w:id="147"/>
      <w:bookmarkEnd w:id="148"/>
    </w:p>
    <w:p w14:paraId="49ABBBB8">
      <w:pPr>
        <w:pStyle w:val="28"/>
        <w:numPr>
          <w:ilvl w:val="0"/>
          <w:numId w:val="4"/>
        </w:numPr>
        <w:spacing w:line="400" w:lineRule="exact"/>
        <w:ind w:firstLineChars="0"/>
        <w:jc w:val="both"/>
        <w:rPr>
          <w:rFonts w:ascii="宋体" w:hAnsi="宋体" w:cs="宋体"/>
          <w:vanish/>
          <w:color w:val="auto"/>
          <w:szCs w:val="21"/>
          <w:highlight w:val="none"/>
        </w:rPr>
      </w:pPr>
    </w:p>
    <w:p w14:paraId="00FD55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25F6FA4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207B64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95492BA">
      <w:pPr>
        <w:spacing w:line="400" w:lineRule="exact"/>
        <w:rPr>
          <w:rFonts w:ascii="宋体" w:hAnsi="宋体" w:cs="宋体"/>
          <w:color w:val="auto"/>
          <w:szCs w:val="21"/>
          <w:highlight w:val="none"/>
        </w:rPr>
      </w:pPr>
    </w:p>
    <w:p w14:paraId="1D25D7C9">
      <w:pPr>
        <w:pStyle w:val="2"/>
        <w:rPr>
          <w:color w:val="auto"/>
          <w:highlight w:val="none"/>
        </w:rPr>
      </w:pPr>
      <w:bookmarkStart w:id="149" w:name="_Toc31513"/>
      <w:bookmarkStart w:id="150" w:name="_Toc12318"/>
      <w:r>
        <w:rPr>
          <w:rFonts w:hint="eastAsia"/>
          <w:color w:val="auto"/>
          <w:highlight w:val="none"/>
        </w:rPr>
        <w:t>25.投标文件的初审</w:t>
      </w:r>
      <w:bookmarkEnd w:id="149"/>
      <w:bookmarkEnd w:id="150"/>
    </w:p>
    <w:p w14:paraId="0D7DFBC9">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25A24E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54F39F50">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34BC36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7D92DF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00D304D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7E5CA53B">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3479D19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4A7E727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4701B3A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不能接受的条件的；⑥其他未实质性响应招标文件商务要求的。</w:t>
      </w:r>
    </w:p>
    <w:p w14:paraId="1A18F02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46CA7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0B9362C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0A92475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2826C5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auto"/>
          <w:szCs w:val="21"/>
          <w:highlight w:val="none"/>
        </w:rPr>
      </w:pPr>
    </w:p>
    <w:p w14:paraId="3C990CAB">
      <w:pPr>
        <w:pStyle w:val="2"/>
        <w:rPr>
          <w:color w:val="auto"/>
          <w:highlight w:val="none"/>
        </w:rPr>
      </w:pPr>
      <w:bookmarkStart w:id="151" w:name="_Toc19657"/>
      <w:bookmarkStart w:id="152" w:name="_Toc1047"/>
      <w:r>
        <w:rPr>
          <w:rFonts w:hint="eastAsia"/>
          <w:color w:val="auto"/>
          <w:highlight w:val="none"/>
        </w:rPr>
        <w:t>26.商务、技术、价格评审</w:t>
      </w:r>
      <w:bookmarkEnd w:id="151"/>
      <w:bookmarkEnd w:id="152"/>
    </w:p>
    <w:p w14:paraId="0D138DE1">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FAB470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0059FD6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9FB2A3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2D86862">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B96CDC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D01CFB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F1EE42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4AAB8C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auto"/>
          <w:szCs w:val="21"/>
          <w:highlight w:val="none"/>
        </w:rPr>
      </w:pPr>
    </w:p>
    <w:p w14:paraId="2D489936">
      <w:pPr>
        <w:pStyle w:val="2"/>
        <w:rPr>
          <w:color w:val="auto"/>
          <w:highlight w:val="none"/>
        </w:rPr>
      </w:pPr>
      <w:bookmarkStart w:id="153" w:name="_Toc6233"/>
      <w:bookmarkStart w:id="154" w:name="_Toc6456"/>
      <w:bookmarkStart w:id="155" w:name="_Toc316375620"/>
      <w:bookmarkStart w:id="156" w:name="_Toc20328"/>
      <w:bookmarkStart w:id="157" w:name="_Toc382049120"/>
      <w:bookmarkStart w:id="158" w:name="_Toc5898"/>
      <w:r>
        <w:rPr>
          <w:rFonts w:hint="eastAsia"/>
          <w:color w:val="auto"/>
          <w:highlight w:val="none"/>
        </w:rPr>
        <w:t>27.</w:t>
      </w:r>
      <w:bookmarkEnd w:id="153"/>
      <w:bookmarkEnd w:id="154"/>
      <w:bookmarkStart w:id="159" w:name="_Toc8465"/>
      <w:r>
        <w:rPr>
          <w:rFonts w:hint="eastAsia"/>
          <w:color w:val="auto"/>
          <w:highlight w:val="none"/>
        </w:rPr>
        <w:t>纪律和保密</w:t>
      </w:r>
      <w:bookmarkEnd w:id="155"/>
      <w:r>
        <w:rPr>
          <w:rFonts w:hint="eastAsia"/>
          <w:color w:val="auto"/>
          <w:highlight w:val="none"/>
        </w:rPr>
        <w:t>事项</w:t>
      </w:r>
      <w:bookmarkEnd w:id="156"/>
      <w:bookmarkEnd w:id="157"/>
      <w:bookmarkEnd w:id="158"/>
      <w:bookmarkEnd w:id="159"/>
    </w:p>
    <w:p w14:paraId="42FFA7B6">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DE0991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施加任何影响或对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的比较及授予合同的决定产生影响，都可能导致其投标文件被拒绝。</w:t>
      </w:r>
    </w:p>
    <w:p w14:paraId="767361D3">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AAD7B98">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BA124F0">
      <w:pPr>
        <w:rPr>
          <w:color w:val="auto"/>
          <w:highlight w:val="none"/>
        </w:rPr>
      </w:pPr>
    </w:p>
    <w:p w14:paraId="3AB7A8F4">
      <w:pPr>
        <w:pStyle w:val="2"/>
        <w:rPr>
          <w:color w:val="auto"/>
          <w:highlight w:val="none"/>
        </w:rPr>
      </w:pPr>
      <w:bookmarkStart w:id="160" w:name="_Toc4954"/>
      <w:bookmarkStart w:id="161" w:name="_Toc508284011"/>
      <w:bookmarkStart w:id="162" w:name="_Toc31964"/>
      <w:r>
        <w:rPr>
          <w:rFonts w:hint="eastAsia"/>
          <w:color w:val="auto"/>
          <w:highlight w:val="none"/>
        </w:rPr>
        <w:t>2</w:t>
      </w:r>
      <w:r>
        <w:rPr>
          <w:rFonts w:hint="eastAsia"/>
          <w:color w:val="auto"/>
          <w:highlight w:val="none"/>
          <w:lang w:val="en-US" w:eastAsia="zh-CN"/>
        </w:rPr>
        <w:t>8</w:t>
      </w:r>
      <w:r>
        <w:rPr>
          <w:rFonts w:hint="eastAsia"/>
          <w:color w:val="auto"/>
          <w:highlight w:val="none"/>
        </w:rPr>
        <w:t>.合同授予标准</w:t>
      </w:r>
      <w:bookmarkEnd w:id="160"/>
      <w:bookmarkEnd w:id="161"/>
      <w:bookmarkEnd w:id="162"/>
    </w:p>
    <w:p w14:paraId="3CAABC60">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6F79D7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按照评审报告推荐的中标候选人中按顺序依法确定中标人。</w:t>
      </w:r>
    </w:p>
    <w:p w14:paraId="74A68A8F">
      <w:pPr>
        <w:spacing w:line="400" w:lineRule="exact"/>
        <w:rPr>
          <w:rFonts w:ascii="宋体" w:hAnsi="宋体" w:cs="宋体"/>
          <w:color w:val="auto"/>
          <w:szCs w:val="21"/>
          <w:highlight w:val="none"/>
        </w:rPr>
      </w:pPr>
    </w:p>
    <w:p w14:paraId="4898BD38">
      <w:pPr>
        <w:pStyle w:val="2"/>
        <w:rPr>
          <w:color w:val="auto"/>
          <w:highlight w:val="none"/>
        </w:rPr>
      </w:pPr>
      <w:bookmarkStart w:id="163" w:name="_Toc22043"/>
      <w:bookmarkStart w:id="164" w:name="_Toc508284013"/>
      <w:bookmarkStart w:id="165" w:name="_Toc29777"/>
      <w:r>
        <w:rPr>
          <w:rFonts w:hint="eastAsia"/>
          <w:color w:val="auto"/>
          <w:highlight w:val="none"/>
          <w:lang w:val="en-US" w:eastAsia="zh-CN"/>
        </w:rPr>
        <w:t>29</w:t>
      </w:r>
      <w:r>
        <w:rPr>
          <w:rFonts w:hint="eastAsia"/>
          <w:color w:val="auto"/>
          <w:highlight w:val="none"/>
        </w:rPr>
        <w:t>.发布采购结果</w:t>
      </w:r>
      <w:bookmarkEnd w:id="163"/>
      <w:bookmarkEnd w:id="164"/>
      <w:bookmarkEnd w:id="165"/>
    </w:p>
    <w:p w14:paraId="6181283B">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3DF5D7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确认后，</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将在指定的信息发布媒体上发布公告。</w:t>
      </w:r>
    </w:p>
    <w:p w14:paraId="4559DB3A">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1A7BF2B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和中标人均具有同等法律效力。</w:t>
      </w:r>
    </w:p>
    <w:p w14:paraId="081C01E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造成的损失由放弃中标的中标人承担。</w:t>
      </w:r>
    </w:p>
    <w:p w14:paraId="53443D1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EF90090">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有权对中标单位进行原件核查，中标单位应在五个工作日内把相关原件递交至</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14:paraId="55B87D5B">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2107136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原件核查要求的；</w:t>
      </w:r>
    </w:p>
    <w:p w14:paraId="453B4FDB">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指定地址进行核查的；</w:t>
      </w:r>
    </w:p>
    <w:p w14:paraId="6C78EE27">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要求不一致的；</w:t>
      </w:r>
    </w:p>
    <w:p w14:paraId="5CD8A71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74293909">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399C4192">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有权对递交了投标文件的未中标投标人进行原件核查。投标人应在</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发出纸质通知五个工作日内将原件递交到</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14:paraId="6516DA1C">
      <w:pPr>
        <w:numPr>
          <w:ilvl w:val="2"/>
          <w:numId w:val="4"/>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FC1EBCF">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5D0DE17B">
      <w:pPr>
        <w:spacing w:line="400" w:lineRule="exact"/>
        <w:rPr>
          <w:rFonts w:ascii="宋体" w:hAnsi="宋体" w:cs="宋体"/>
          <w:color w:val="auto"/>
          <w:szCs w:val="21"/>
          <w:highlight w:val="none"/>
        </w:rPr>
      </w:pPr>
    </w:p>
    <w:p w14:paraId="78C0FDDC">
      <w:pPr>
        <w:pStyle w:val="2"/>
        <w:rPr>
          <w:color w:val="auto"/>
          <w:highlight w:val="none"/>
        </w:rPr>
      </w:pPr>
      <w:bookmarkStart w:id="166" w:name="_Toc26465"/>
      <w:bookmarkStart w:id="167" w:name="_Toc8411"/>
      <w:r>
        <w:rPr>
          <w:rFonts w:hint="eastAsia"/>
          <w:color w:val="auto"/>
          <w:highlight w:val="none"/>
        </w:rPr>
        <w:t>3</w:t>
      </w:r>
      <w:r>
        <w:rPr>
          <w:rFonts w:hint="eastAsia"/>
          <w:color w:val="auto"/>
          <w:highlight w:val="none"/>
          <w:lang w:val="en-US" w:eastAsia="zh-CN"/>
        </w:rPr>
        <w:t>0</w:t>
      </w:r>
      <w:r>
        <w:rPr>
          <w:rFonts w:hint="eastAsia"/>
          <w:color w:val="auto"/>
          <w:highlight w:val="none"/>
        </w:rPr>
        <w:t>.合同的签订与履行</w:t>
      </w:r>
      <w:bookmarkEnd w:id="166"/>
      <w:bookmarkEnd w:id="167"/>
    </w:p>
    <w:p w14:paraId="28A48184">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00DDB8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与中标人应当根据合同的约定依法履行合同义务。</w:t>
      </w:r>
    </w:p>
    <w:p w14:paraId="0C88104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0AD0734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1898D70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。若资质变动导致中标投标人不再具备履行合同资质要求，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有权中止合同。</w:t>
      </w:r>
    </w:p>
    <w:p w14:paraId="5B0A028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可以按照评审报告推荐的中标候选人名单排序，确定下一候选人为中标人，也可以重新开展采购活动。</w:t>
      </w:r>
    </w:p>
    <w:p w14:paraId="0B488137">
      <w:pPr>
        <w:pStyle w:val="8"/>
        <w:rPr>
          <w:color w:val="auto"/>
          <w:sz w:val="21"/>
          <w:szCs w:val="21"/>
          <w:highlight w:val="none"/>
        </w:rPr>
      </w:pPr>
    </w:p>
    <w:p w14:paraId="1C714BDA">
      <w:pPr>
        <w:pStyle w:val="2"/>
        <w:rPr>
          <w:color w:val="auto"/>
          <w:highlight w:val="none"/>
        </w:rPr>
      </w:pPr>
      <w:bookmarkStart w:id="168" w:name="_Toc21526"/>
      <w:bookmarkStart w:id="169" w:name="_Toc19434"/>
      <w:r>
        <w:rPr>
          <w:rFonts w:hint="eastAsia"/>
          <w:color w:val="auto"/>
          <w:highlight w:val="none"/>
        </w:rPr>
        <w:t>3</w:t>
      </w:r>
      <w:r>
        <w:rPr>
          <w:rFonts w:hint="eastAsia"/>
          <w:color w:val="auto"/>
          <w:highlight w:val="none"/>
          <w:lang w:val="en-US" w:eastAsia="zh-CN"/>
        </w:rPr>
        <w:t>1</w:t>
      </w:r>
      <w:r>
        <w:rPr>
          <w:rFonts w:hint="eastAsia"/>
          <w:color w:val="auto"/>
          <w:highlight w:val="none"/>
        </w:rPr>
        <w:t>.招标文件的解释权</w:t>
      </w:r>
      <w:bookmarkEnd w:id="168"/>
      <w:bookmarkEnd w:id="169"/>
    </w:p>
    <w:p w14:paraId="7BAD9120">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3E60A12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2A45A24F">
      <w:pPr>
        <w:rPr>
          <w:rFonts w:ascii="宋体" w:hAnsi="宋体" w:cs="宋体"/>
          <w:color w:val="auto"/>
          <w:szCs w:val="21"/>
          <w:highlight w:val="none"/>
        </w:rPr>
      </w:pPr>
      <w:r>
        <w:rPr>
          <w:rFonts w:hint="eastAsia" w:ascii="宋体" w:hAnsi="宋体" w:cs="宋体"/>
          <w:color w:val="auto"/>
          <w:szCs w:val="21"/>
          <w:highlight w:val="none"/>
        </w:rPr>
        <w:br w:type="page"/>
      </w:r>
    </w:p>
    <w:p w14:paraId="64E31647">
      <w:pPr>
        <w:pStyle w:val="3"/>
        <w:numPr>
          <w:ilvl w:val="0"/>
          <w:numId w:val="1"/>
        </w:numPr>
        <w:rPr>
          <w:color w:val="auto"/>
          <w:highlight w:val="none"/>
        </w:rPr>
      </w:pPr>
      <w:bookmarkStart w:id="170" w:name="_Toc1468"/>
      <w:r>
        <w:rPr>
          <w:rFonts w:hint="eastAsia"/>
          <w:color w:val="auto"/>
          <w:highlight w:val="none"/>
        </w:rPr>
        <w:t>用户需求书</w:t>
      </w:r>
      <w:bookmarkEnd w:id="170"/>
    </w:p>
    <w:p w14:paraId="6710163C">
      <w:pPr>
        <w:jc w:val="center"/>
        <w:outlineLvl w:val="1"/>
        <w:rPr>
          <w:b/>
          <w:bCs/>
          <w:color w:val="auto"/>
          <w:sz w:val="28"/>
          <w:szCs w:val="36"/>
          <w:highlight w:val="none"/>
        </w:rPr>
      </w:pPr>
      <w:bookmarkStart w:id="171" w:name="_Toc27946"/>
      <w:bookmarkStart w:id="172" w:name="_Toc16006"/>
      <w:r>
        <w:rPr>
          <w:rFonts w:hint="eastAsia"/>
          <w:b/>
          <w:bCs/>
          <w:color w:val="auto"/>
          <w:sz w:val="28"/>
          <w:szCs w:val="36"/>
          <w:highlight w:val="none"/>
        </w:rPr>
        <w:t>商务要求</w:t>
      </w:r>
      <w:bookmarkEnd w:id="171"/>
      <w:bookmarkEnd w:id="172"/>
    </w:p>
    <w:tbl>
      <w:tblPr>
        <w:tblStyle w:val="20"/>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14:paraId="3B5A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14:paraId="5DDEF68C">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14:paraId="681D0043">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14:paraId="31C1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671" w:type="dxa"/>
            <w:vAlign w:val="center"/>
          </w:tcPr>
          <w:p w14:paraId="7884C1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服务期</w:t>
            </w:r>
          </w:p>
        </w:tc>
        <w:tc>
          <w:tcPr>
            <w:tcW w:w="6724" w:type="dxa"/>
            <w:vAlign w:val="center"/>
          </w:tcPr>
          <w:p w14:paraId="56E1D93F">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 w:val="21"/>
                <w:szCs w:val="21"/>
                <w:highlight w:val="none"/>
                <w:lang w:eastAsia="zh-CN"/>
              </w:rPr>
              <w:t>服务期为三年</w:t>
            </w:r>
            <w:r>
              <w:rPr>
                <w:rFonts w:hint="eastAsia" w:ascii="宋体" w:hAnsi="宋体" w:eastAsia="宋体" w:cs="宋体"/>
                <w:color w:val="auto"/>
                <w:sz w:val="21"/>
                <w:szCs w:val="21"/>
                <w:highlight w:val="none"/>
                <w:lang w:eastAsia="zh-CN"/>
              </w:rPr>
              <w:t>。</w:t>
            </w:r>
          </w:p>
        </w:tc>
      </w:tr>
      <w:tr w14:paraId="4CEE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671" w:type="dxa"/>
            <w:vAlign w:val="center"/>
          </w:tcPr>
          <w:p w14:paraId="70F6D67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付款方式</w:t>
            </w:r>
          </w:p>
        </w:tc>
        <w:tc>
          <w:tcPr>
            <w:tcW w:w="6724" w:type="dxa"/>
            <w:vAlign w:val="center"/>
          </w:tcPr>
          <w:p w14:paraId="0BCDB4D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default" w:ascii="宋体" w:hAnsi="宋体" w:eastAsia="宋体" w:cs="宋体"/>
                <w:color w:val="auto"/>
                <w:szCs w:val="21"/>
                <w:highlight w:val="none"/>
                <w:lang w:val="zh-CN" w:bidi="zh-CN"/>
              </w:rPr>
              <w:t>1</w:t>
            </w:r>
            <w:r>
              <w:rPr>
                <w:rFonts w:hint="eastAsia" w:ascii="宋体" w:hAnsi="宋体" w:eastAsia="宋体" w:cs="宋体"/>
                <w:color w:val="auto"/>
                <w:szCs w:val="21"/>
                <w:highlight w:val="none"/>
                <w:lang w:val="en-US" w:bidi="zh-CN"/>
              </w:rPr>
              <w:t>.</w:t>
            </w:r>
            <w:r>
              <w:rPr>
                <w:rFonts w:hint="default" w:ascii="宋体" w:hAnsi="宋体" w:eastAsia="宋体" w:cs="宋体"/>
                <w:color w:val="auto"/>
                <w:szCs w:val="21"/>
                <w:highlight w:val="none"/>
                <w:lang w:val="zh-CN" w:bidi="zh-CN"/>
              </w:rPr>
              <w:t>每月结算一次，采购人和中标人按定价说明确定供货价格，结算公式：结算价格＝结算基准价×实际供货数量-考核表扣款（如有），中标人完成当月供货订单后，次月10号前根据上月的收货凭证与采购人对上月货款、考核表进行确认，并向采购人提出付款申请及开具相应数额的含税发票。采购人收到申请核对无误后在15个工作日内结清上月所有货款。</w:t>
            </w:r>
          </w:p>
          <w:p w14:paraId="622BB78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default" w:ascii="宋体" w:hAnsi="宋体" w:eastAsia="宋体" w:cs="宋体"/>
                <w:color w:val="auto"/>
                <w:szCs w:val="21"/>
                <w:highlight w:val="none"/>
                <w:lang w:val="zh-CN" w:bidi="zh-CN"/>
              </w:rPr>
              <w:t>2</w:t>
            </w:r>
            <w:r>
              <w:rPr>
                <w:rFonts w:hint="eastAsia" w:ascii="宋体" w:hAnsi="宋体" w:eastAsia="宋体" w:cs="宋体"/>
                <w:color w:val="auto"/>
                <w:szCs w:val="21"/>
                <w:highlight w:val="none"/>
                <w:lang w:val="en-US" w:bidi="zh-CN"/>
              </w:rPr>
              <w:t>.</w:t>
            </w:r>
            <w:r>
              <w:rPr>
                <w:rFonts w:hint="default" w:ascii="宋体" w:hAnsi="宋体" w:eastAsia="宋体" w:cs="宋体"/>
                <w:color w:val="auto"/>
                <w:szCs w:val="21"/>
                <w:highlight w:val="none"/>
                <w:lang w:val="zh-CN" w:bidi="zh-CN"/>
              </w:rPr>
              <w:t>收款方、发票的销售方、合同乙方均必须与中标人名称一致。</w:t>
            </w:r>
          </w:p>
          <w:p w14:paraId="4B93A3C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default" w:ascii="宋体" w:hAnsi="宋体" w:eastAsia="宋体" w:cs="宋体"/>
                <w:color w:val="auto"/>
                <w:szCs w:val="21"/>
                <w:highlight w:val="none"/>
                <w:lang w:val="zh-CN" w:bidi="zh-CN"/>
              </w:rPr>
              <w:t>3</w:t>
            </w:r>
            <w:r>
              <w:rPr>
                <w:rFonts w:hint="eastAsia" w:ascii="宋体" w:hAnsi="宋体" w:eastAsia="宋体" w:cs="宋体"/>
                <w:color w:val="auto"/>
                <w:szCs w:val="21"/>
                <w:highlight w:val="none"/>
                <w:lang w:val="en-US" w:bidi="zh-CN"/>
              </w:rPr>
              <w:t>.</w:t>
            </w:r>
            <w:r>
              <w:rPr>
                <w:rFonts w:hint="default" w:ascii="宋体" w:hAnsi="宋体" w:eastAsia="宋体" w:cs="宋体"/>
                <w:color w:val="auto"/>
                <w:szCs w:val="21"/>
                <w:highlight w:val="none"/>
                <w:lang w:val="zh-CN" w:bidi="zh-CN"/>
              </w:rPr>
              <w:t>因特殊原因需要提早或延迟结算的，经采购人和中标人双方协商一致后执行。</w:t>
            </w:r>
          </w:p>
        </w:tc>
      </w:tr>
      <w:tr w14:paraId="39A3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71" w:type="dxa"/>
            <w:vAlign w:val="center"/>
          </w:tcPr>
          <w:p w14:paraId="18757F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服务地点</w:t>
            </w:r>
          </w:p>
        </w:tc>
        <w:tc>
          <w:tcPr>
            <w:tcW w:w="6724" w:type="dxa"/>
            <w:vAlign w:val="center"/>
          </w:tcPr>
          <w:p w14:paraId="7A04799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en-US" w:bidi="zh-CN"/>
              </w:rPr>
            </w:pPr>
            <w:r>
              <w:rPr>
                <w:rFonts w:hint="eastAsia" w:ascii="宋体" w:hAnsi="宋体" w:eastAsia="宋体" w:cs="宋体"/>
                <w:color w:val="auto"/>
                <w:sz w:val="21"/>
                <w:szCs w:val="21"/>
                <w:highlight w:val="none"/>
              </w:rPr>
              <w:t>采购人指定地点。</w:t>
            </w:r>
          </w:p>
        </w:tc>
      </w:tr>
      <w:tr w14:paraId="52CC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14:paraId="6C5EA5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报价要求</w:t>
            </w:r>
          </w:p>
        </w:tc>
        <w:tc>
          <w:tcPr>
            <w:tcW w:w="6724" w:type="dxa"/>
            <w:vAlign w:val="center"/>
          </w:tcPr>
          <w:p w14:paraId="5B9D43BA">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本项目报价采用下浮率报价方式，且所报的下浮率应当适用于所有产品单品。报价应包含完成本次招标所有服务内容的费用，包括人工费、食材采购费、食材运输费、材料费、设备使用费、保险费、各种税务费、必须的辅助材料费及合同实施过程中不可预见费用等全部费用，采购人不向中标人另行支付任何费用。</w:t>
            </w:r>
          </w:p>
          <w:p w14:paraId="6A428C13">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中标人供货价需按照当前时段东莞市发展和改革局公布同期“广东省菜篮子价格监测表”中最新一期的“东莞市菜篮子价格监测表”的价格为基准价进行下浮，中标人须于《东莞市发展和改革局》网站最新价格挂出后第二天向采购人提供最新一期的价格表，当周基准价格一经确定，双方须严格执行，不受市场物价波动影响，不得调价。中标人原则上每隔一个周调整一次价格，每次调整价格经采购人确认后方可开始执行。</w:t>
            </w:r>
          </w:p>
          <w:p w14:paraId="254F5750">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3.若东莞市发展和改革局网站上无发布的产品（部分特定牌子的产品除外）则由采购人和中标人双方共同在周边市场（</w:t>
            </w:r>
            <w:r>
              <w:rPr>
                <w:rFonts w:hint="eastAsia" w:ascii="宋体" w:hAnsi="宋体" w:cs="宋体"/>
                <w:color w:val="auto"/>
                <w:szCs w:val="21"/>
                <w:highlight w:val="none"/>
                <w:lang w:val="en-US" w:bidi="zh-CN"/>
              </w:rPr>
              <w:t>不少于三个）</w:t>
            </w:r>
            <w:r>
              <w:rPr>
                <w:rFonts w:hint="eastAsia" w:ascii="宋体" w:hAnsi="宋体" w:cs="宋体"/>
                <w:color w:val="auto"/>
                <w:szCs w:val="21"/>
                <w:highlight w:val="none"/>
                <w:lang w:val="zh-CN" w:bidi="zh-CN"/>
              </w:rPr>
              <w:t>参考同类产品价格的平均价作为基准价进行下浮（即基准价=市场平均价=N个市场抽样价格之和÷N），供货价即为基准价×【1-中标下浮率】。</w:t>
            </w:r>
          </w:p>
          <w:p w14:paraId="2AF3F8B9">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4.所供食材价格包含一切费用，主要包括购货或自产养（种）植成本、包装费、运输费、装卸费、搬运费、储存费、人工费、检验检疫费、质量检测费、保险费、各种税费及合同实施过程中的应预见和不可预见费用等。在项目的实施过程中，中标人必须充分考虑在本项目实施期间的一切可能产生的风险和相关费用，采购人无需支付合同约定货款之外的任何费用和补偿。</w:t>
            </w:r>
          </w:p>
          <w:p w14:paraId="69534D12">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5.如生产商或批发商统一调整价格或新增食材，中标人须及时书面通知采购人并附相关资料。价格下调时，应给予采购人相同的价格下调幅度；价格上升时，须提供生产商或批发商调价通知书等书面证明材料原件，经采购人审核后执行新的价格。</w:t>
            </w:r>
          </w:p>
          <w:p w14:paraId="75DDD48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6.采购人有权随时抽查中标人的供货食材入货台账或进行市场调查，发现中标人有虚报或隐瞒供货食材市场价存在欺骗行为，采购人有权取消其中标资格，终止合同。</w:t>
            </w:r>
          </w:p>
          <w:p w14:paraId="1052AA5B">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7.采购人临时需求货品不在核定的供货价格清单内的，中标人必须按采购人要求供货，供货价格由双方临时确定。下次该货品应纳入报价清单，并按上述定价原则确定供货价格。</w:t>
            </w:r>
          </w:p>
          <w:p w14:paraId="65AABE20">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8.若遇台风、暴雨等意外原因造成的个别品种价格需临时调整，应通知采购人，并征得采购人同意后方可调整，每次送货按通知价格计算。</w:t>
            </w:r>
          </w:p>
          <w:p w14:paraId="0F06FB95">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9.定价周期：每周更新一次，中标人每次至少提前2天提交下次报价清单给采购人审核，双方签字后生效。</w:t>
            </w:r>
          </w:p>
        </w:tc>
      </w:tr>
      <w:tr w14:paraId="3697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671" w:type="dxa"/>
            <w:vAlign w:val="center"/>
          </w:tcPr>
          <w:p w14:paraId="06A6B37C">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p>
        </w:tc>
        <w:tc>
          <w:tcPr>
            <w:tcW w:w="6724" w:type="dxa"/>
            <w:vAlign w:val="center"/>
          </w:tcPr>
          <w:p w14:paraId="01CA5D4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14:paraId="0BF3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14:paraId="4FD808C8">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质量及包装要求</w:t>
            </w:r>
          </w:p>
        </w:tc>
        <w:tc>
          <w:tcPr>
            <w:tcW w:w="6724" w:type="dxa"/>
            <w:vAlign w:val="center"/>
          </w:tcPr>
          <w:p w14:paraId="4D2EE17E">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0%。</w:t>
            </w:r>
          </w:p>
          <w:p w14:paraId="200D13D1">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2.中标人保证所提供的水产品和蔬菜种类的多样性和季节性，以保证新鲜感。</w:t>
            </w:r>
          </w:p>
          <w:p w14:paraId="2129CF6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3.货物有包装的，货物的包装必须完整清洁（无损、无污、无皱），采购人有权拒收包装不整齐、已拆封的货品。</w:t>
            </w:r>
          </w:p>
          <w:p w14:paraId="3A7B542A">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4.货品质量或包装不符合采购人要求的，中标人必须无条件退货或更换。</w:t>
            </w:r>
          </w:p>
          <w:p w14:paraId="77D080CD">
            <w:pPr>
              <w:widowControl w:val="0"/>
              <w:tabs>
                <w:tab w:val="left" w:pos="709"/>
              </w:tabs>
              <w:adjustRightInd/>
              <w:snapToGrid/>
              <w:spacing w:after="0" w:line="360" w:lineRule="auto"/>
              <w:ind w:firstLine="420" w:firstLineChars="200"/>
              <w:jc w:val="both"/>
              <w:rPr>
                <w:rFonts w:ascii="宋体" w:hAnsi="宋体" w:cs="宋体"/>
                <w:color w:val="auto"/>
                <w:szCs w:val="21"/>
                <w:highlight w:val="none"/>
                <w:lang w:bidi="zh-CN"/>
              </w:rPr>
            </w:pPr>
            <w:r>
              <w:rPr>
                <w:rFonts w:hint="eastAsia" w:ascii="宋体" w:hAnsi="宋体" w:eastAsia="宋体" w:cs="宋体"/>
                <w:bCs/>
                <w:color w:val="auto"/>
                <w:sz w:val="21"/>
                <w:szCs w:val="21"/>
                <w:highlight w:val="none"/>
              </w:rPr>
              <w:t>5.中标人提供假冒伪劣、过期、变质货品的，一经发现，除按采购人要求无条件退货或换货外，因中标人供应货品质量问题造成食品安全事故的，经有关部门鉴定后，中标人须负担全数的医药费及赔偿费等，采购人将取消该中标人的供货资格，中标人同时承担相应的民事及刑事法律责任。</w:t>
            </w:r>
          </w:p>
        </w:tc>
      </w:tr>
      <w:tr w14:paraId="4514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14:paraId="67E57EED">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保密条款</w:t>
            </w:r>
          </w:p>
        </w:tc>
        <w:tc>
          <w:tcPr>
            <w:tcW w:w="6724" w:type="dxa"/>
            <w:vAlign w:val="center"/>
          </w:tcPr>
          <w:p w14:paraId="64030F1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bidi="zh-CN"/>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在实施货物供货期间，不得将供货的实际数量及供货地点泄露给其他企业或者个人，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14:paraId="3A1B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14:paraId="31047C7A">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验收标准</w:t>
            </w:r>
          </w:p>
        </w:tc>
        <w:tc>
          <w:tcPr>
            <w:tcW w:w="6724" w:type="dxa"/>
            <w:vAlign w:val="center"/>
          </w:tcPr>
          <w:p w14:paraId="22AC1D2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bidi="zh-CN"/>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14:paraId="0AD0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14:paraId="2ACD9BA6">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售后服务</w:t>
            </w:r>
          </w:p>
        </w:tc>
        <w:tc>
          <w:tcPr>
            <w:tcW w:w="6724" w:type="dxa"/>
            <w:vAlign w:val="center"/>
          </w:tcPr>
          <w:p w14:paraId="255ED8F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14:paraId="5677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671" w:type="dxa"/>
            <w:vAlign w:val="center"/>
          </w:tcPr>
          <w:p w14:paraId="2F098B4E">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合同条款</w:t>
            </w:r>
          </w:p>
        </w:tc>
        <w:tc>
          <w:tcPr>
            <w:tcW w:w="6724" w:type="dxa"/>
            <w:vAlign w:val="center"/>
          </w:tcPr>
          <w:p w14:paraId="2F3501E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供应商实质响应合同各条款。</w:t>
            </w:r>
          </w:p>
        </w:tc>
      </w:tr>
    </w:tbl>
    <w:p w14:paraId="291352F1">
      <w:pPr>
        <w:pStyle w:val="8"/>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8542638">
      <w:pPr>
        <w:jc w:val="center"/>
        <w:outlineLvl w:val="1"/>
        <w:rPr>
          <w:rFonts w:hint="eastAsia"/>
          <w:b/>
          <w:bCs/>
          <w:color w:val="auto"/>
          <w:sz w:val="28"/>
          <w:szCs w:val="36"/>
          <w:highlight w:val="none"/>
        </w:rPr>
      </w:pPr>
      <w:bookmarkStart w:id="173" w:name="_Toc4572"/>
      <w:r>
        <w:rPr>
          <w:rFonts w:hint="eastAsia"/>
          <w:b/>
          <w:bCs/>
          <w:color w:val="auto"/>
          <w:sz w:val="28"/>
          <w:szCs w:val="36"/>
          <w:highlight w:val="none"/>
        </w:rPr>
        <w:t>技术要求</w:t>
      </w:r>
      <w:bookmarkEnd w:id="173"/>
    </w:p>
    <w:p w14:paraId="7CEB792D">
      <w:pPr>
        <w:widowControl w:val="0"/>
        <w:numPr>
          <w:ilvl w:val="0"/>
          <w:numId w:val="0"/>
        </w:numPr>
        <w:tabs>
          <w:tab w:val="left" w:pos="426"/>
          <w:tab w:val="left" w:pos="709"/>
        </w:tabs>
        <w:adjustRightInd/>
        <w:snapToGrid/>
        <w:spacing w:after="0" w:line="360" w:lineRule="auto"/>
        <w:ind w:left="420" w:leftChars="0" w:hanging="420" w:firstLineChars="0"/>
        <w:jc w:val="both"/>
        <w:outlineLvl w:val="3"/>
        <w:rPr>
          <w:rFonts w:hint="eastAsia" w:ascii="宋体" w:hAnsi="宋体" w:eastAsia="宋体" w:cs="宋体"/>
          <w:b/>
          <w:bCs/>
          <w:color w:val="auto"/>
          <w:sz w:val="24"/>
          <w:szCs w:val="24"/>
          <w:highlight w:val="none"/>
        </w:rPr>
      </w:pPr>
      <w:r>
        <w:rPr>
          <w:rFonts w:hint="eastAsia" w:ascii="宋体" w:hAnsi="宋体" w:eastAsia="宋体" w:cs="Courier New"/>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食材服务需求</w:t>
      </w:r>
    </w:p>
    <w:p w14:paraId="7A636C9E">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color w:val="auto"/>
          <w:sz w:val="21"/>
          <w:szCs w:val="21"/>
          <w:highlight w:val="none"/>
        </w:rPr>
        <w:t>质量要求</w:t>
      </w:r>
    </w:p>
    <w:p w14:paraId="54ACC28D">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粮油类配送采购要求</w:t>
      </w:r>
    </w:p>
    <w:p w14:paraId="7C8BA554">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（1）供应产品的质量要求：</w:t>
      </w:r>
    </w:p>
    <w:p w14:paraId="5BB83767">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14:paraId="350C0487">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14:paraId="6B47A1E0">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14:paraId="2A50B607">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14:paraId="350C74E4">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①米类执行标准：GB/T1354-2018　标准一等米不含添加剂</w:t>
      </w:r>
    </w:p>
    <w:p w14:paraId="6D983F7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14:paraId="4C6AD66C">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碎米总量≤17%（国家标准：≤35%）</w:t>
      </w:r>
    </w:p>
    <w:p w14:paraId="7FD50F6E">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小碎米总量≤2%（国家标准：≤2.5%）</w:t>
      </w:r>
    </w:p>
    <w:p w14:paraId="20BA331C">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不完善粒≤3.5%（国家标准：≤4.0%）</w:t>
      </w:r>
    </w:p>
    <w:p w14:paraId="087F15DA">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w:t>
      </w:r>
    </w:p>
    <w:p w14:paraId="5CD853CA">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③油类质量要求：</w:t>
      </w:r>
    </w:p>
    <w:p w14:paraId="7CD206E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mg/kg～0.2mg/kg)、汞（0.02mg/kg）、无机砷（0.1mg/kg～0.2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14:paraId="3EEC57D5">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rPr>
        <w:t>副食品供应货品质量要求</w:t>
      </w:r>
    </w:p>
    <w:p w14:paraId="0DEBA961">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副食品包括但不限于牛奶、食糖、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14:paraId="4E2D859B">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14:paraId="6EFD7655">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14:paraId="7D125F2A">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default"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auto"/>
          <w:sz w:val="21"/>
          <w:szCs w:val="21"/>
          <w:highlight w:val="none"/>
        </w:rPr>
        <w:t>蔬菜瓜果供应货品质量要求</w:t>
      </w:r>
    </w:p>
    <w:p w14:paraId="26FAF373">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14:paraId="76B19A87">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14:paraId="772E2F72">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14:paraId="20EEA6EA">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采购人立即通知中标人将问题货品进行退换货处理。如中标人所供应货品出现质量问题造成食品安全事故，中标人应承担全部责任和经济损失。</w:t>
      </w:r>
    </w:p>
    <w:p w14:paraId="6D9C715B">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14:paraId="147B0B1E">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14:paraId="1C7790D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14:paraId="4D7297B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14:paraId="72F9CB2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14:paraId="3826C87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14:paraId="3CDC5F22">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5906DB56">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14:paraId="3FFCEC2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14:paraId="544F44E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14:paraId="5A8B158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14:paraId="4C52CEC2">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14:paraId="47B84B6F">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26DCBDF0">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配送要求</w:t>
      </w:r>
    </w:p>
    <w:p w14:paraId="0044C6E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3C49A8D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14:paraId="257899E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14:paraId="2911129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14:paraId="1CDBDDFA">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14:paraId="0060FAC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14:paraId="334148CC">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14:paraId="1769657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14:paraId="7FD0BF4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14:paraId="4784A6D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14:paraId="4FB879E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14:paraId="7607987A">
      <w:pPr>
        <w:bidi w:val="0"/>
        <w:rPr>
          <w:rFonts w:hint="eastAsia"/>
          <w:color w:val="auto"/>
          <w:highlight w:val="none"/>
        </w:rPr>
      </w:pPr>
    </w:p>
    <w:p w14:paraId="36F92159">
      <w:pPr>
        <w:widowControl w:val="0"/>
        <w:numPr>
          <w:ilvl w:val="0"/>
          <w:numId w:val="0"/>
        </w:numPr>
        <w:tabs>
          <w:tab w:val="left" w:pos="426"/>
          <w:tab w:val="left" w:pos="709"/>
        </w:tabs>
        <w:adjustRightInd/>
        <w:snapToGrid/>
        <w:spacing w:after="0" w:line="360" w:lineRule="auto"/>
        <w:ind w:left="420" w:leftChars="0" w:hanging="420" w:firstLineChars="0"/>
        <w:jc w:val="both"/>
        <w:outlineLvl w:val="3"/>
        <w:rPr>
          <w:rFonts w:hint="eastAsia" w:ascii="宋体" w:hAnsi="宋体" w:eastAsia="宋体" w:cs="宋体"/>
          <w:b/>
          <w:bCs/>
          <w:color w:val="auto"/>
          <w:sz w:val="24"/>
          <w:szCs w:val="24"/>
          <w:highlight w:val="none"/>
        </w:rPr>
      </w:pPr>
      <w:r>
        <w:rPr>
          <w:rFonts w:hint="eastAsia" w:ascii="宋体" w:hAnsi="宋体" w:eastAsia="宋体" w:cs="Courier New"/>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说明</w:t>
      </w:r>
    </w:p>
    <w:p w14:paraId="6B800FA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14:paraId="7148C2C4">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14:paraId="76EC127A">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14:paraId="4528E2E4">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4.中标人负责货品配送前的仓储，采购人不提供仓库。</w:t>
      </w:r>
    </w:p>
    <w:p w14:paraId="00F6B89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.在采购人签收之前，货物的所有权和风险属于中标人，货物发生遗失、损坏由中标人负责。</w:t>
      </w:r>
    </w:p>
    <w:p w14:paraId="5BD5DC0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14:paraId="3C178AF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14:paraId="6E4A163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14:paraId="72DF9F9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14:paraId="0B8AD69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14:paraId="55561B6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14:paraId="40E3849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14:paraId="5AB65A5C">
      <w:pPr>
        <w:bidi w:val="0"/>
        <w:rPr>
          <w:rFonts w:hint="eastAsia"/>
          <w:color w:val="auto"/>
          <w:highlight w:val="none"/>
        </w:rPr>
      </w:pPr>
    </w:p>
    <w:p w14:paraId="67315231">
      <w:pPr>
        <w:widowControl w:val="0"/>
        <w:numPr>
          <w:ilvl w:val="0"/>
          <w:numId w:val="0"/>
        </w:numPr>
        <w:tabs>
          <w:tab w:val="left" w:pos="426"/>
          <w:tab w:val="left" w:pos="709"/>
        </w:tabs>
        <w:adjustRightInd/>
        <w:snapToGrid/>
        <w:spacing w:after="0" w:line="360" w:lineRule="auto"/>
        <w:ind w:left="420" w:leftChars="0" w:hanging="420" w:firstLineChars="0"/>
        <w:jc w:val="both"/>
        <w:outlineLvl w:val="3"/>
        <w:rPr>
          <w:rFonts w:hint="eastAsia" w:ascii="宋体" w:hAnsi="宋体" w:eastAsia="宋体" w:cs="宋体"/>
          <w:b/>
          <w:bCs/>
          <w:color w:val="auto"/>
          <w:sz w:val="24"/>
          <w:szCs w:val="24"/>
          <w:highlight w:val="none"/>
        </w:rPr>
      </w:pPr>
      <w:r>
        <w:rPr>
          <w:rFonts w:hint="eastAsia" w:ascii="宋体" w:hAnsi="宋体" w:eastAsia="宋体" w:cs="Courier New"/>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其他要求</w:t>
      </w:r>
    </w:p>
    <w:p w14:paraId="2BFBEB40">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1.中标人必须服从采购人的监督、管理，配合采购人到农场基地、食物配送点进行现场考察。</w:t>
      </w:r>
    </w:p>
    <w:p w14:paraId="5E9C8CD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2.食品供应链要求：所有食品的来源必须清晰可追溯和追责。</w:t>
      </w:r>
    </w:p>
    <w:p w14:paraId="11E5D748">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3.中标人需配合采购人要求，落实我市关于采购贫困地区农副产品的相关政策要求，通过贫困地区农副产品网络销售平台或定向扶贫地区采购贫困地区农副产品。</w:t>
      </w:r>
    </w:p>
    <w:p w14:paraId="19CF1691">
      <w:pPr>
        <w:bidi w:val="0"/>
        <w:rPr>
          <w:rFonts w:hint="eastAsia"/>
          <w:color w:val="auto"/>
          <w:highlight w:val="none"/>
        </w:rPr>
      </w:pPr>
    </w:p>
    <w:p w14:paraId="5FBFFB7D">
      <w:pPr>
        <w:widowControl w:val="0"/>
        <w:numPr>
          <w:ilvl w:val="0"/>
          <w:numId w:val="0"/>
        </w:numPr>
        <w:tabs>
          <w:tab w:val="left" w:pos="426"/>
          <w:tab w:val="left" w:pos="709"/>
        </w:tabs>
        <w:adjustRightInd/>
        <w:snapToGrid/>
        <w:spacing w:after="0" w:line="360" w:lineRule="auto"/>
        <w:ind w:left="420" w:leftChars="0" w:hanging="420" w:firstLineChars="0"/>
        <w:jc w:val="both"/>
        <w:outlineLvl w:val="3"/>
        <w:rPr>
          <w:rFonts w:hint="eastAsia" w:ascii="宋体" w:hAnsi="宋体" w:eastAsia="宋体" w:cs="宋体"/>
          <w:b/>
          <w:bCs/>
          <w:color w:val="auto"/>
          <w:sz w:val="24"/>
          <w:szCs w:val="24"/>
          <w:highlight w:val="none"/>
        </w:rPr>
      </w:pPr>
      <w:r>
        <w:rPr>
          <w:rFonts w:hint="eastAsia" w:ascii="宋体" w:hAnsi="宋体" w:eastAsia="宋体" w:cs="Courier New"/>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rPr>
        <w:t>相关说明</w:t>
      </w:r>
    </w:p>
    <w:p w14:paraId="03E95F8F">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14:paraId="0AE5D6CA">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被取消配送服务资格而造成服务单位数量不能满足正常食堂食材配送工作需求的，采购人有权按顺序递补本次采购排名在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14:paraId="025C0DAB">
      <w:pPr>
        <w:spacing w:line="360" w:lineRule="auto"/>
        <w:ind w:firstLine="420" w:firstLineChars="200"/>
        <w:rPr>
          <w:rFonts w:hint="eastAsia" w:ascii="宋体" w:hAnsi="宋体" w:cs="仿宋_GB2312"/>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14:paraId="28E35136">
      <w:pPr>
        <w:pStyle w:val="18"/>
        <w:shd w:val="clear" w:color="auto" w:fill="FFFFFF"/>
        <w:spacing w:line="330" w:lineRule="atLeast"/>
        <w:ind w:left="420" w:hanging="704"/>
        <w:jc w:val="both"/>
        <w:rPr>
          <w:rFonts w:ascii="ˎ̥" w:hAnsi="ˎ̥" w:eastAsia="宋体"/>
          <w:color w:val="auto"/>
          <w:sz w:val="23"/>
          <w:szCs w:val="23"/>
          <w:highlight w:val="none"/>
        </w:rPr>
      </w:pPr>
      <w:r>
        <w:rPr>
          <w:rFonts w:ascii="宋体" w:hAnsi="宋体" w:cs="仿宋_GB2312"/>
          <w:color w:val="auto"/>
          <w:szCs w:val="21"/>
          <w:highlight w:val="none"/>
        </w:rPr>
        <w:br w:type="page"/>
      </w:r>
      <w:r>
        <w:rPr>
          <w:rFonts w:hint="eastAsia" w:ascii="ˎ̥" w:hAnsi="ˎ̥"/>
          <w:color w:val="auto"/>
          <w:sz w:val="23"/>
          <w:szCs w:val="23"/>
          <w:highlight w:val="none"/>
        </w:rPr>
        <w:t>附件一</w:t>
      </w:r>
    </w:p>
    <w:p w14:paraId="2AB36E00">
      <w:pPr>
        <w:pStyle w:val="18"/>
        <w:shd w:val="clear" w:color="auto" w:fill="FFFFFF"/>
        <w:spacing w:line="330" w:lineRule="atLeast"/>
        <w:ind w:left="420"/>
        <w:jc w:val="center"/>
        <w:rPr>
          <w:rFonts w:hint="eastAsia" w:ascii="宋体" w:hAnsi="宋体" w:eastAsia="宋体" w:cs="宋体"/>
          <w:b/>
          <w:bCs/>
          <w:color w:val="auto"/>
          <w:sz w:val="32"/>
          <w:szCs w:val="32"/>
          <w:highlight w:val="none"/>
          <w:lang w:eastAsia="zh-CN" w:bidi="ar"/>
        </w:rPr>
      </w:pPr>
      <w:r>
        <w:rPr>
          <w:rFonts w:hint="eastAsia" w:ascii="宋体" w:hAnsi="宋体" w:cs="宋体"/>
          <w:b/>
          <w:bCs/>
          <w:color w:val="auto"/>
          <w:sz w:val="32"/>
          <w:szCs w:val="32"/>
          <w:highlight w:val="none"/>
          <w:lang w:eastAsia="zh-CN" w:bidi="ar"/>
        </w:rPr>
        <w:t>东莞市沙田镇第二幼儿园饭堂食材配送项目</w:t>
      </w:r>
    </w:p>
    <w:p w14:paraId="2EDCCF77">
      <w:pPr>
        <w:pStyle w:val="18"/>
        <w:shd w:val="clear" w:color="auto" w:fill="FFFFFF"/>
        <w:spacing w:line="330" w:lineRule="atLeast"/>
        <w:ind w:left="420"/>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val="en-US" w:eastAsia="zh-CN" w:bidi="ar"/>
        </w:rPr>
        <w:t>考核评分标准及细则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02"/>
        <w:gridCol w:w="3465"/>
        <w:gridCol w:w="906"/>
        <w:gridCol w:w="657"/>
        <w:gridCol w:w="657"/>
      </w:tblGrid>
      <w:tr w14:paraId="061A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14:paraId="2BEC9BBB">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0" w:type="auto"/>
            <w:noWrap w:val="0"/>
            <w:vAlign w:val="center"/>
          </w:tcPr>
          <w:p w14:paraId="45D7F720">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noWrap w:val="0"/>
            <w:vAlign w:val="center"/>
          </w:tcPr>
          <w:p w14:paraId="4BBF89CB">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14:paraId="00F91136">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14:paraId="6C4FAA8C">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14:paraId="2BFDAABA">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14:paraId="67F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14:paraId="0EF7A5AD">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0" w:type="auto"/>
            <w:noWrap w:val="0"/>
            <w:vAlign w:val="center"/>
          </w:tcPr>
          <w:p w14:paraId="36BD0CAD">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0" w:type="auto"/>
            <w:noWrap w:val="0"/>
            <w:vAlign w:val="center"/>
          </w:tcPr>
          <w:p w14:paraId="18D74DDF">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14:paraId="23DF2EA2">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14:paraId="3DBDA618">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14:paraId="5B7FCA32">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32A00487">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7E0D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114399C5">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0" w:type="auto"/>
            <w:noWrap w:val="0"/>
            <w:vAlign w:val="center"/>
          </w:tcPr>
          <w:p w14:paraId="23FD2F40">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0" w:type="auto"/>
            <w:noWrap w:val="0"/>
            <w:vAlign w:val="center"/>
          </w:tcPr>
          <w:p w14:paraId="36A9E68B">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14:paraId="66B0A04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14:paraId="31FE65B4">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14:paraId="29B8C0D6">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14:paraId="1EA8D41E">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14:paraId="232275C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6A62823B">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6A59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40A1309E">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0" w:type="auto"/>
            <w:noWrap w:val="0"/>
            <w:vAlign w:val="center"/>
          </w:tcPr>
          <w:p w14:paraId="5D2775F4">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0" w:type="auto"/>
            <w:noWrap w:val="0"/>
            <w:vAlign w:val="center"/>
          </w:tcPr>
          <w:p w14:paraId="3F13B91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14:paraId="44011EA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14:paraId="659E4D62">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14:paraId="52047A58">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14:paraId="72E841FB">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7E27D04D">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667A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6ABB8089">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0" w:type="auto"/>
            <w:noWrap w:val="0"/>
            <w:vAlign w:val="center"/>
          </w:tcPr>
          <w:p w14:paraId="5CF2C99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0" w:type="auto"/>
            <w:noWrap w:val="0"/>
            <w:vAlign w:val="center"/>
          </w:tcPr>
          <w:p w14:paraId="5D24602C">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14:paraId="7A0E827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14:paraId="095323B8">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14:paraId="05D0A9E7">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14:paraId="779B2178">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6BEDBF56">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10D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14:paraId="339BCAFB">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0" w:type="auto"/>
            <w:noWrap w:val="0"/>
            <w:vAlign w:val="center"/>
          </w:tcPr>
          <w:p w14:paraId="704A48C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14:paraId="66056C51">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14:paraId="05F1F295">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14:paraId="17CFE3CD">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14:paraId="12560A07">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14:paraId="0EA4F313">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r w14:paraId="08ED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14:paraId="340DA6CA">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合计得分</w:t>
            </w:r>
          </w:p>
        </w:tc>
        <w:tc>
          <w:tcPr>
            <w:tcW w:w="0" w:type="auto"/>
            <w:gridSpan w:val="4"/>
            <w:noWrap w:val="0"/>
            <w:vAlign w:val="center"/>
          </w:tcPr>
          <w:p w14:paraId="5F165F88">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bl>
    <w:p w14:paraId="0AE8D5F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14:paraId="333488A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（1）采购人实行不定时、不定人检查，按百分制打分，分好（100分－91分）、中（90分－70分）、差（70分以下）三个档次；供应商应当无条件配合采购人的检查。</w:t>
      </w:r>
    </w:p>
    <w:p w14:paraId="7063D2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（2）得分属好的为达标，不扣减当次考核费用；属中的，每扣一分罚100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元；属差的（70分以下），情况严重的，视情况的严重性，扣除当次考核费用50%以上，100%以下（含100%）；合同期内属差的累计达三次，采购人有权单方面解除合同。</w:t>
      </w:r>
    </w:p>
    <w:p w14:paraId="1BDD252D">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282D2E24">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ABB83BC">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55B748B8">
      <w:pPr>
        <w:rPr>
          <w:color w:val="auto"/>
          <w:highlight w:val="none"/>
        </w:rPr>
      </w:pPr>
      <w:r>
        <w:rPr>
          <w:rFonts w:hint="eastAsia"/>
          <w:color w:val="auto"/>
          <w:highlight w:val="none"/>
        </w:rPr>
        <w:br w:type="page"/>
      </w:r>
    </w:p>
    <w:p w14:paraId="0347DD82">
      <w:pPr>
        <w:pStyle w:val="3"/>
        <w:numPr>
          <w:ilvl w:val="0"/>
          <w:numId w:val="1"/>
        </w:numPr>
        <w:rPr>
          <w:color w:val="auto"/>
          <w:highlight w:val="none"/>
        </w:rPr>
      </w:pPr>
      <w:bookmarkStart w:id="174" w:name="_Toc22191"/>
      <w:r>
        <w:rPr>
          <w:rFonts w:hint="eastAsia"/>
          <w:color w:val="auto"/>
          <w:highlight w:val="none"/>
        </w:rPr>
        <w:t>详细评审</w:t>
      </w:r>
      <w:bookmarkEnd w:id="17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624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112003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A4578B4">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3881DD">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411C06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1869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2AC926B4">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35分</w:t>
            </w:r>
            <w:r>
              <w:rPr>
                <w:rFonts w:hint="eastAsia" w:ascii="宋体" w:eastAsia="宋体" w:cs="宋体"/>
                <w:b/>
                <w:bCs/>
                <w:color w:val="auto"/>
                <w:sz w:val="21"/>
                <w:szCs w:val="21"/>
                <w:highlight w:val="none"/>
                <w:lang w:eastAsia="zh-CN"/>
              </w:rPr>
              <w:t>）</w:t>
            </w:r>
          </w:p>
        </w:tc>
      </w:tr>
      <w:tr w14:paraId="14F3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4A9148B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53534C6A">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0D3AA1B">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C79DD8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投标人具备有效期内的以下管理体系认证证书，最高得10分，无不得分。</w:t>
            </w:r>
          </w:p>
          <w:p w14:paraId="2B5B23F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（1）质量管理体系认证证书，2分；</w:t>
            </w:r>
          </w:p>
          <w:p w14:paraId="178A268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（2）环境安全管理体系认证证书，2分；</w:t>
            </w:r>
          </w:p>
          <w:p w14:paraId="746C98E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（3）职业健康安全管理体系认证证书，2分；</w:t>
            </w:r>
          </w:p>
          <w:p w14:paraId="2CE5630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（4）食品安全管理体系认证证书，2分；</w:t>
            </w:r>
          </w:p>
          <w:p w14:paraId="68CB77A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（5）危害分析与关键控制点（HACCP）体系认证证书，2分；</w:t>
            </w:r>
          </w:p>
          <w:p w14:paraId="4BDA0D7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en-US" w:eastAsia="zh-CN"/>
              </w:rPr>
              <w:t>注：需同时提供有效期内认证证书的扫描件及全国认证认可信息公共服务平台（www.cnca.gov.cn）认证信息查询截图（截图需显示证书状态为有效），不提供或不符合要求的不得分。</w:t>
            </w:r>
          </w:p>
        </w:tc>
      </w:tr>
      <w:tr w14:paraId="05E8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06696F5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1D3FF60D">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3C09B040">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5FA51E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投标人2020年1月1日（以合同签订时间为准）至今签订的食材配送项目业绩，每个得2分，最高得10分。</w:t>
            </w:r>
          </w:p>
          <w:p w14:paraId="605FD23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en-US" w:eastAsia="zh-CN"/>
              </w:rPr>
              <w:t>注：须提供合同复印件加盖投标人公章。不提供或不符合要求的不得分。</w:t>
            </w:r>
          </w:p>
        </w:tc>
      </w:tr>
      <w:tr w14:paraId="2638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35227020">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14:paraId="5C390A5F">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2"/>
                <w:szCs w:val="22"/>
                <w:highlight w:val="none"/>
              </w:rPr>
              <w:t>拟投入配送车辆情况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6D25CDC5">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17B9C3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根据投标人拟投入本项目的配送车辆进行评分：</w:t>
            </w:r>
          </w:p>
          <w:p w14:paraId="086EB35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（1）每具有一台厢式运输车的得1分，最高得2分。</w:t>
            </w:r>
          </w:p>
          <w:p w14:paraId="6D07DF9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（2）每具有一台冷链运输车的得1.5分，最高得3分。</w:t>
            </w:r>
          </w:p>
          <w:p w14:paraId="4FBDABD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注：（1）车辆为投标人自有的，须提供①车辆登记证书或车辆行驶证（所有人须为投标人）、②车辆照片（其中冷链运输车须提供能显示制冷设备的图片），复印件加盖投标人公章。</w:t>
            </w:r>
          </w:p>
          <w:p w14:paraId="4E3EECF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（2）车辆为投标人租赁的，须同时提供：①车辆登记证书或车辆行驶证、②车辆照片（其中冷链运输车须提供能显示制冷设备的图片）、③以投标人名义签订并在有效期内的租赁合同，复印件加盖投标人公章。</w:t>
            </w:r>
          </w:p>
        </w:tc>
      </w:tr>
      <w:tr w14:paraId="5B26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16BFDF42">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right w:val="single" w:color="auto" w:sz="4" w:space="0"/>
            </w:tcBorders>
            <w:noWrap w:val="0"/>
            <w:vAlign w:val="center"/>
          </w:tcPr>
          <w:p w14:paraId="7FBC3506">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团队人员情况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314080C8">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748835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投标人拟投入本项目的团队人员配备情况：</w:t>
            </w:r>
          </w:p>
          <w:p w14:paraId="0DC23DC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（1）投标人拟投入本项目的团队人员具有高级食品安全管理员证书的，得3分；具有中级食品安全管理员证书的得2分；本项最高得6分；</w:t>
            </w:r>
          </w:p>
          <w:p w14:paraId="0529751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（2）投标人拟投入本项目的团队人员具有食品检验工</w:t>
            </w:r>
            <w:r>
              <w:rPr>
                <w:rFonts w:hint="eastAsia" w:ascii="宋体" w:hAnsi="宋体" w:cs="宋体"/>
                <w:b w:val="0"/>
                <w:bCs w:val="0"/>
                <w:color w:val="auto"/>
                <w:kern w:val="2"/>
                <w:sz w:val="21"/>
                <w:szCs w:val="21"/>
                <w:highlight w:val="none"/>
                <w:lang w:val="en-US" w:eastAsia="zh-CN"/>
              </w:rPr>
              <w:t>或农产品食品检验员</w:t>
            </w:r>
            <w:r>
              <w:rPr>
                <w:rFonts w:hint="eastAsia" w:ascii="宋体" w:hAnsi="宋体" w:eastAsia="宋体" w:cs="宋体"/>
                <w:b w:val="0"/>
                <w:bCs w:val="0"/>
                <w:color w:val="auto"/>
                <w:kern w:val="2"/>
                <w:sz w:val="21"/>
                <w:szCs w:val="21"/>
                <w:highlight w:val="none"/>
                <w:lang w:val="en-US" w:eastAsia="zh-CN"/>
              </w:rPr>
              <w:t>证书的，得4分，本项最高得4分；</w:t>
            </w:r>
          </w:p>
          <w:p w14:paraId="155F57D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rPr>
              <w:t>注：同时提供相关人员的证书及投标人自开标前6个月（不含开标当月）任意1个月为其缴纳的社保证明材料复印件，上述证明材料均需加盖投标人公章，不提供或不符合要求的不得分。</w:t>
            </w:r>
          </w:p>
        </w:tc>
      </w:tr>
      <w:tr w14:paraId="2F39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2249AD4A">
            <w:pPr>
              <w:pStyle w:val="3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55分</w:t>
            </w:r>
            <w:r>
              <w:rPr>
                <w:rFonts w:hint="eastAsia" w:ascii="宋体" w:eastAsia="宋体" w:cs="宋体"/>
                <w:b/>
                <w:bCs/>
                <w:color w:val="auto"/>
                <w:sz w:val="21"/>
                <w:szCs w:val="21"/>
                <w:highlight w:val="none"/>
                <w:lang w:eastAsia="zh-CN"/>
              </w:rPr>
              <w:t>）</w:t>
            </w:r>
          </w:p>
        </w:tc>
      </w:tr>
      <w:tr w14:paraId="02A2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2E88A0A">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9902EC7">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2"/>
                <w:highlight w:val="none"/>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FBD0864">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9DFDCD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根据各投标人提供针对本项目总体实施的各方面方案，包括食材供应保障、日常管理组织、物流配送等进行评审：</w:t>
            </w:r>
          </w:p>
          <w:p w14:paraId="0BD7801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（1）方案齐全完善，科学合理，可行性高，得10分；</w:t>
            </w:r>
          </w:p>
          <w:p w14:paraId="0A3DBEB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（2）方案基本完整合理，具有一定可行性，得6分；</w:t>
            </w:r>
          </w:p>
          <w:p w14:paraId="733C142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（3）方案缺乏合理性，得2分；</w:t>
            </w:r>
          </w:p>
          <w:p w14:paraId="61FF834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（4）未提供对应方案不得分。</w:t>
            </w:r>
          </w:p>
        </w:tc>
      </w:tr>
      <w:tr w14:paraId="69E3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3437032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5FC34971">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2"/>
                <w:highlight w:val="none"/>
              </w:rPr>
              <w:t>项目管理组织架构</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E6EA779">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0F6F28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根据投标人项目管理组织架构进行评分：</w:t>
            </w:r>
          </w:p>
          <w:p w14:paraId="6F9D63F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（1）项目管理架构完善，分工明确，岗位责任制强，能全面高效地完成本项目，得9分；</w:t>
            </w:r>
          </w:p>
          <w:p w14:paraId="0A301DC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（2）项目管理架构基本完整，分工较为明确，岗位责任制较强，得6分；</w:t>
            </w:r>
          </w:p>
          <w:p w14:paraId="7116659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（3）项目管理架构不完整或缺乏合理性，得3分；</w:t>
            </w:r>
          </w:p>
          <w:p w14:paraId="60BF9CB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en-US" w:eastAsia="zh-CN"/>
              </w:rPr>
              <w:t>（4）未提供对应方案不得分。</w:t>
            </w:r>
          </w:p>
        </w:tc>
      </w:tr>
      <w:tr w14:paraId="633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A4B5D9B">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1BBF0D7">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2"/>
                <w:highlight w:val="none"/>
              </w:rPr>
              <w:t>食品质量保证方案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1BB7890">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499691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对投标人制定的食品质量保证方案进行评审：</w:t>
            </w:r>
          </w:p>
          <w:p w14:paraId="182BDE0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（1）投标人的质量及安全保障措施，方案具体、完善、合理、完整，管理规范专业，能完全满足且优于采购要求的，得9分；</w:t>
            </w:r>
          </w:p>
          <w:p w14:paraId="48A1A74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（2）投标人的质量及安全保障措施，方案较完善、合理，管理规范专业，完全满足采购要求的，得6分；</w:t>
            </w:r>
          </w:p>
          <w:p w14:paraId="49DC04F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（3）投标人的质量及安全保障措施，方案简单，无针对性，不能完全满足采购要求的，得3分；</w:t>
            </w:r>
          </w:p>
          <w:p w14:paraId="7EAC629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en-US" w:eastAsia="zh-CN"/>
              </w:rPr>
              <w:t>（4）未提供对应方案不得分。</w:t>
            </w:r>
          </w:p>
        </w:tc>
      </w:tr>
      <w:tr w14:paraId="385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69E4205">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000D2DD6">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2"/>
                <w:highlight w:val="none"/>
              </w:rPr>
              <w:t>食品安全追溯方案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1310BD6">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93C64A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对投标人制定的食品安全追溯方案评审： </w:t>
            </w:r>
          </w:p>
          <w:p w14:paraId="6A85E36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（1）投标人具有食品安全（质量）追溯方案合理、针对性强，完全满足且优于采购需求的，得9分； </w:t>
            </w:r>
          </w:p>
          <w:p w14:paraId="47A52A1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（2）提供食品安全追溯方案合理、具有针对性，完全满足采购需求的，得6分； </w:t>
            </w:r>
          </w:p>
          <w:p w14:paraId="46770A7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（3）提供食品安全追溯方案，方案不能完全满足采购需求的，得3分； </w:t>
            </w:r>
          </w:p>
          <w:p w14:paraId="45D6153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（4）未提供对应方案不得分。</w:t>
            </w:r>
          </w:p>
        </w:tc>
      </w:tr>
      <w:tr w14:paraId="3868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E7BEF1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338A0A6">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2"/>
                <w:highlight w:val="none"/>
              </w:rPr>
              <w:t>售后服务方案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3E9AE45E">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5136A4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根据投标人提供的售后服务方案、服务承诺、保质期、服务响应时限、售后服务点技术力量等进行评分：</w:t>
            </w:r>
          </w:p>
          <w:p w14:paraId="7A70A0E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（1）</w:t>
            </w:r>
            <w:r>
              <w:rPr>
                <w:rFonts w:hint="eastAsia" w:ascii="宋体" w:hAnsi="宋体" w:eastAsia="宋体" w:cs="宋体"/>
                <w:b w:val="0"/>
                <w:bCs w:val="0"/>
                <w:color w:val="auto"/>
                <w:kern w:val="2"/>
                <w:sz w:val="21"/>
                <w:szCs w:val="21"/>
                <w:highlight w:val="none"/>
                <w:lang w:val="zh-CN" w:eastAsia="zh-CN"/>
              </w:rPr>
              <w:fldChar w:fldCharType="begin"/>
            </w:r>
            <w:r>
              <w:rPr>
                <w:rFonts w:hint="eastAsia" w:ascii="宋体" w:hAnsi="宋体" w:eastAsia="宋体" w:cs="宋体"/>
                <w:b w:val="0"/>
                <w:bCs w:val="0"/>
                <w:color w:val="auto"/>
                <w:kern w:val="2"/>
                <w:sz w:val="21"/>
                <w:szCs w:val="21"/>
                <w:highlight w:val="none"/>
                <w:lang w:val="zh-CN" w:eastAsia="zh-CN"/>
              </w:rPr>
              <w:instrText xml:space="preserve"> = 1 \* GB3 </w:instrText>
            </w:r>
            <w:r>
              <w:rPr>
                <w:rFonts w:hint="eastAsia" w:ascii="宋体" w:hAnsi="宋体" w:eastAsia="宋体" w:cs="宋体"/>
                <w:b w:val="0"/>
                <w:bCs w:val="0"/>
                <w:color w:val="auto"/>
                <w:kern w:val="2"/>
                <w:sz w:val="21"/>
                <w:szCs w:val="21"/>
                <w:highlight w:val="none"/>
                <w:lang w:val="zh-CN" w:eastAsia="zh-CN"/>
              </w:rPr>
              <w:fldChar w:fldCharType="end"/>
            </w:r>
            <w:r>
              <w:rPr>
                <w:rFonts w:hint="eastAsia" w:ascii="宋体" w:hAnsi="宋体" w:eastAsia="宋体" w:cs="宋体"/>
                <w:b w:val="0"/>
                <w:bCs w:val="0"/>
                <w:color w:val="auto"/>
                <w:kern w:val="2"/>
                <w:sz w:val="21"/>
                <w:szCs w:val="21"/>
                <w:highlight w:val="none"/>
                <w:lang w:val="zh-CN" w:eastAsia="zh-CN"/>
              </w:rPr>
              <w:t>方案齐全完善，科学合理，可行性高，得</w:t>
            </w:r>
            <w:r>
              <w:rPr>
                <w:rFonts w:hint="eastAsia" w:ascii="宋体" w:hAnsi="宋体" w:eastAsia="宋体" w:cs="宋体"/>
                <w:b w:val="0"/>
                <w:bCs w:val="0"/>
                <w:color w:val="auto"/>
                <w:kern w:val="2"/>
                <w:sz w:val="21"/>
                <w:szCs w:val="21"/>
                <w:highlight w:val="none"/>
                <w:lang w:val="en-US" w:eastAsia="zh-CN"/>
              </w:rPr>
              <w:t>9</w:t>
            </w:r>
            <w:r>
              <w:rPr>
                <w:rFonts w:hint="eastAsia" w:ascii="宋体" w:hAnsi="宋体" w:eastAsia="宋体" w:cs="宋体"/>
                <w:b w:val="0"/>
                <w:bCs w:val="0"/>
                <w:color w:val="auto"/>
                <w:kern w:val="2"/>
                <w:sz w:val="21"/>
                <w:szCs w:val="21"/>
                <w:highlight w:val="none"/>
                <w:lang w:val="zh-CN" w:eastAsia="zh-CN"/>
              </w:rPr>
              <w:t>分；</w:t>
            </w:r>
          </w:p>
          <w:p w14:paraId="4BBFE27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（2）方案基本完整合理，具有一定可行性，得</w:t>
            </w:r>
            <w:r>
              <w:rPr>
                <w:rFonts w:hint="eastAsia" w:ascii="宋体" w:hAnsi="宋体" w:eastAsia="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val="zh-CN" w:eastAsia="zh-CN"/>
              </w:rPr>
              <w:t>分；</w:t>
            </w:r>
          </w:p>
          <w:p w14:paraId="25D4498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（3）</w:t>
            </w:r>
            <w:r>
              <w:rPr>
                <w:rFonts w:hint="eastAsia" w:ascii="宋体" w:hAnsi="宋体" w:eastAsia="宋体" w:cs="宋体"/>
                <w:b w:val="0"/>
                <w:bCs w:val="0"/>
                <w:color w:val="auto"/>
                <w:kern w:val="2"/>
                <w:sz w:val="21"/>
                <w:szCs w:val="21"/>
                <w:highlight w:val="none"/>
                <w:lang w:val="zh-CN" w:eastAsia="zh-CN"/>
              </w:rPr>
              <w:fldChar w:fldCharType="begin"/>
            </w:r>
            <w:r>
              <w:rPr>
                <w:rFonts w:hint="eastAsia" w:ascii="宋体" w:hAnsi="宋体" w:eastAsia="宋体" w:cs="宋体"/>
                <w:b w:val="0"/>
                <w:bCs w:val="0"/>
                <w:color w:val="auto"/>
                <w:kern w:val="2"/>
                <w:sz w:val="21"/>
                <w:szCs w:val="21"/>
                <w:highlight w:val="none"/>
                <w:lang w:val="zh-CN" w:eastAsia="zh-CN"/>
              </w:rPr>
              <w:instrText xml:space="preserve"> = 4 \* GB3 </w:instrText>
            </w:r>
            <w:r>
              <w:rPr>
                <w:rFonts w:hint="eastAsia" w:ascii="宋体" w:hAnsi="宋体" w:eastAsia="宋体" w:cs="宋体"/>
                <w:b w:val="0"/>
                <w:bCs w:val="0"/>
                <w:color w:val="auto"/>
                <w:kern w:val="2"/>
                <w:sz w:val="21"/>
                <w:szCs w:val="21"/>
                <w:highlight w:val="none"/>
                <w:lang w:val="zh-CN" w:eastAsia="zh-CN"/>
              </w:rPr>
              <w:fldChar w:fldCharType="end"/>
            </w:r>
            <w:r>
              <w:rPr>
                <w:rFonts w:hint="eastAsia" w:ascii="宋体" w:hAnsi="宋体" w:eastAsia="宋体" w:cs="宋体"/>
                <w:b w:val="0"/>
                <w:bCs w:val="0"/>
                <w:color w:val="auto"/>
                <w:kern w:val="2"/>
                <w:sz w:val="21"/>
                <w:szCs w:val="21"/>
                <w:highlight w:val="none"/>
                <w:lang w:val="zh-CN" w:eastAsia="zh-CN"/>
              </w:rPr>
              <w:t>方案缺乏合理性，得</w:t>
            </w:r>
            <w:r>
              <w:rPr>
                <w:rFonts w:hint="eastAsia" w:ascii="宋体" w:hAnsi="宋体" w:eastAsia="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zh-CN" w:eastAsia="zh-CN"/>
              </w:rPr>
              <w:t>分；</w:t>
            </w:r>
          </w:p>
          <w:p w14:paraId="738BE4A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zh-CN" w:eastAsia="zh-CN"/>
              </w:rPr>
              <w:t>（4）未提供对应方案不得分。</w:t>
            </w:r>
          </w:p>
        </w:tc>
      </w:tr>
      <w:tr w14:paraId="5F1F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A13785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AE44A7D">
            <w:pPr>
              <w:keepNext w:val="0"/>
              <w:keepLines w:val="0"/>
              <w:pageBreakBefore w:val="0"/>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应急处置预案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2E56638">
            <w:pPr>
              <w:keepNext w:val="0"/>
              <w:keepLines w:val="0"/>
              <w:pageBreakBefore w:val="0"/>
              <w:widowControl/>
              <w:shd w:val="clear" w:color="auto" w:fill="auto"/>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11C8F1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根据投标人提供的对可能发生的突发事件的应急处置预案，方案不限于但至少包含食材配送应急预案、因台风天气采取的应急配送预案进行评审：</w:t>
            </w:r>
          </w:p>
          <w:p w14:paraId="65EA6EC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（1）应急处置方案工作流程清晰、针对性强，满足且优于采购要求，得9分； </w:t>
            </w:r>
          </w:p>
          <w:p w14:paraId="1539CE4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（2）应急处置方案合理、具有针对性较，完全满足采购要求，得6分； </w:t>
            </w:r>
          </w:p>
          <w:p w14:paraId="1106AF7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（3）应急处置方案不能完全满足采购要求，得3分； </w:t>
            </w:r>
          </w:p>
          <w:p w14:paraId="732C2F8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（4）未提供对应方案不得分。</w:t>
            </w:r>
          </w:p>
        </w:tc>
      </w:tr>
      <w:tr w14:paraId="3166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7D5126D">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0380EEAB">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1C5308B7">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4721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ADB5A1B">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78ED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83C046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5B7458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50F0F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52386A20">
            <w:pPr>
              <w:pStyle w:val="31"/>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kern w:val="2"/>
                <w:sz w:val="21"/>
                <w:szCs w:val="21"/>
                <w:highlight w:val="none"/>
                <w:lang w:val="zh-CN"/>
              </w:rPr>
              <w:t>价</w:t>
            </w: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p>
          <w:p w14:paraId="69AC295A">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zh-CN"/>
              </w:rPr>
              <w:t>投标报价得分=[(1-最大下浮率)／(1-投标下浮率)]×价格权重</w:t>
            </w:r>
          </w:p>
        </w:tc>
      </w:tr>
    </w:tbl>
    <w:p w14:paraId="6F5563E6">
      <w:pPr>
        <w:rPr>
          <w:color w:val="auto"/>
          <w:highlight w:val="none"/>
        </w:rPr>
      </w:pPr>
      <w:r>
        <w:rPr>
          <w:color w:val="auto"/>
          <w:highlight w:val="none"/>
        </w:rPr>
        <w:br w:type="page"/>
      </w:r>
    </w:p>
    <w:p w14:paraId="114B2731">
      <w:pPr>
        <w:pStyle w:val="3"/>
        <w:numPr>
          <w:ilvl w:val="0"/>
          <w:numId w:val="1"/>
        </w:numPr>
        <w:rPr>
          <w:color w:val="auto"/>
          <w:highlight w:val="none"/>
        </w:rPr>
      </w:pPr>
      <w:bookmarkStart w:id="175" w:name="_Toc15331"/>
      <w:r>
        <w:rPr>
          <w:rFonts w:hint="eastAsia"/>
          <w:color w:val="auto"/>
          <w:highlight w:val="none"/>
        </w:rPr>
        <w:t>合同文本参考格式</w:t>
      </w:r>
      <w:bookmarkEnd w:id="175"/>
    </w:p>
    <w:p w14:paraId="646DF588">
      <w:pPr>
        <w:spacing w:line="420" w:lineRule="atLeast"/>
        <w:ind w:right="560"/>
        <w:jc w:val="center"/>
        <w:rPr>
          <w:rFonts w:hint="eastAsia" w:ascii="宋体" w:hAnsi="宋体"/>
          <w:b/>
          <w:bCs/>
          <w:color w:val="auto"/>
          <w:szCs w:val="21"/>
          <w:highlight w:val="none"/>
        </w:rPr>
      </w:pPr>
      <w:bookmarkStart w:id="176" w:name="_Toc1541"/>
      <w:r>
        <w:rPr>
          <w:rFonts w:hint="eastAsia" w:ascii="宋体" w:hAnsi="宋体"/>
          <w:b/>
          <w:bCs/>
          <w:color w:val="auto"/>
          <w:szCs w:val="21"/>
          <w:highlight w:val="none"/>
        </w:rPr>
        <w:t>（本格式编排在招标文件中，供投标人参考，投标时不需填写）</w:t>
      </w:r>
      <w:bookmarkEnd w:id="176"/>
    </w:p>
    <w:p w14:paraId="26502C35">
      <w:pPr>
        <w:spacing w:line="360" w:lineRule="auto"/>
        <w:ind w:right="560"/>
        <w:rPr>
          <w:rFonts w:ascii="宋体" w:hAnsi="宋体"/>
          <w:color w:val="auto"/>
          <w:szCs w:val="21"/>
          <w:highlight w:val="none"/>
        </w:rPr>
      </w:pPr>
      <w:r>
        <w:rPr>
          <w:rFonts w:ascii="宋体" w:hAnsi="宋体"/>
          <w:color w:val="auto"/>
          <w:szCs w:val="21"/>
          <w:highlight w:val="none"/>
        </w:rPr>
        <w:t>合同编号：</w:t>
      </w:r>
    </w:p>
    <w:p w14:paraId="451E490B">
      <w:pPr>
        <w:spacing w:line="360" w:lineRule="auto"/>
        <w:rPr>
          <w:rFonts w:ascii="宋体" w:hAnsi="宋体"/>
          <w:color w:val="auto"/>
          <w:szCs w:val="21"/>
          <w:highlight w:val="none"/>
        </w:rPr>
      </w:pPr>
    </w:p>
    <w:p w14:paraId="3157DE63">
      <w:pPr>
        <w:spacing w:line="360" w:lineRule="auto"/>
        <w:rPr>
          <w:rFonts w:ascii="宋体" w:hAnsi="宋体"/>
          <w:color w:val="auto"/>
          <w:szCs w:val="21"/>
          <w:highlight w:val="none"/>
        </w:rPr>
      </w:pPr>
      <w:r>
        <w:rPr>
          <w:rFonts w:ascii="宋体" w:hAnsi="宋体"/>
          <w:color w:val="auto"/>
          <w:szCs w:val="21"/>
          <w:highlight w:val="none"/>
        </w:rPr>
        <w:t xml:space="preserve">甲方：（采购人）                     </w:t>
      </w:r>
    </w:p>
    <w:p w14:paraId="18FD44BD">
      <w:pPr>
        <w:spacing w:line="360" w:lineRule="auto"/>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成交供应商</w:t>
      </w:r>
      <w:r>
        <w:rPr>
          <w:rFonts w:ascii="宋体" w:hAnsi="宋体"/>
          <w:color w:val="auto"/>
          <w:szCs w:val="21"/>
          <w:highlight w:val="none"/>
        </w:rPr>
        <w:t>）</w:t>
      </w:r>
    </w:p>
    <w:p w14:paraId="289B61EC">
      <w:pPr>
        <w:spacing w:line="360" w:lineRule="auto"/>
        <w:rPr>
          <w:rFonts w:ascii="宋体" w:hAnsi="宋体"/>
          <w:color w:val="auto"/>
          <w:szCs w:val="21"/>
          <w:highlight w:val="none"/>
        </w:rPr>
      </w:pPr>
    </w:p>
    <w:p w14:paraId="48A6F442">
      <w:pPr>
        <w:pStyle w:val="18"/>
        <w:spacing w:before="0" w:beforeAutospacing="0" w:after="0" w:afterAutospacing="0" w:line="360" w:lineRule="auto"/>
        <w:ind w:firstLine="48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受甲方委托，</w:t>
      </w:r>
      <w:r>
        <w:rPr>
          <w:rFonts w:ascii="宋体" w:hAnsi="宋体" w:eastAsia="宋体" w:cs="Times New Roman"/>
          <w:color w:val="auto"/>
          <w:sz w:val="21"/>
          <w:szCs w:val="21"/>
          <w:highlight w:val="none"/>
          <w:u w:val="single"/>
        </w:rPr>
        <w:t xml:space="preserve">           (采购代理机构)</w:t>
      </w:r>
      <w:r>
        <w:rPr>
          <w:rFonts w:ascii="宋体" w:hAnsi="宋体" w:eastAsia="宋体" w:cs="Times New Roman"/>
          <w:color w:val="auto"/>
          <w:sz w:val="21"/>
          <w:szCs w:val="21"/>
          <w:highlight w:val="none"/>
        </w:rPr>
        <w:t>组织对</w:t>
      </w:r>
      <w:r>
        <w:rPr>
          <w:rFonts w:ascii="宋体" w:hAnsi="宋体" w:eastAsia="宋体" w:cs="Times New Roman"/>
          <w:color w:val="auto"/>
          <w:sz w:val="21"/>
          <w:szCs w:val="21"/>
          <w:highlight w:val="none"/>
          <w:u w:val="single"/>
        </w:rPr>
        <w:t xml:space="preserve">         （项目名称）</w:t>
      </w:r>
      <w:r>
        <w:rPr>
          <w:rFonts w:ascii="宋体" w:hAnsi="宋体" w:eastAsia="宋体" w:cs="Times New Roman"/>
          <w:color w:val="auto"/>
          <w:sz w:val="21"/>
          <w:szCs w:val="21"/>
          <w:highlight w:val="none"/>
        </w:rPr>
        <w:t>采购项目（采购编号为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）进行采购，于</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年</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月</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日通过</w:t>
      </w:r>
      <w:r>
        <w:rPr>
          <w:rFonts w:hint="eastAsia" w:ascii="宋体" w:hAnsi="宋体" w:eastAsia="宋体" w:cs="Times New Roman"/>
          <w:color w:val="auto"/>
          <w:sz w:val="21"/>
          <w:szCs w:val="21"/>
          <w:highlight w:val="none"/>
          <w:lang w:val="en-US" w:eastAsia="zh-CN"/>
        </w:rPr>
        <w:t>公开招标</w:t>
      </w:r>
      <w:r>
        <w:rPr>
          <w:rFonts w:ascii="宋体" w:hAnsi="宋体" w:eastAsia="宋体" w:cs="Times New Roman"/>
          <w:color w:val="auto"/>
          <w:sz w:val="21"/>
          <w:szCs w:val="21"/>
          <w:highlight w:val="none"/>
        </w:rPr>
        <w:t>，经评标委员会评定乙方</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为</w:t>
      </w:r>
      <w:r>
        <w:rPr>
          <w:rFonts w:hint="eastAsia" w:ascii="宋体" w:hAnsi="宋体" w:eastAsia="宋体" w:cs="Times New Roman"/>
          <w:color w:val="auto"/>
          <w:sz w:val="21"/>
          <w:szCs w:val="21"/>
          <w:highlight w:val="none"/>
          <w:lang w:val="en-US" w:eastAsia="zh-CN"/>
        </w:rPr>
        <w:t>中标人</w:t>
      </w:r>
      <w:r>
        <w:rPr>
          <w:rFonts w:ascii="宋体" w:hAnsi="宋体" w:eastAsia="宋体" w:cs="Times New Roman"/>
          <w:color w:val="auto"/>
          <w:sz w:val="21"/>
          <w:szCs w:val="21"/>
          <w:highlight w:val="none"/>
        </w:rPr>
        <w:t>。为了保护甲、乙双方合法权益，根据《中华人民共和国政府采购法》及其实施条例、《中华人民共和国民法典》，在平等自愿的基础上，按照下面的条款和条件，签署本合同。</w:t>
      </w:r>
    </w:p>
    <w:p w14:paraId="5513E2BA">
      <w:pPr>
        <w:pStyle w:val="18"/>
        <w:spacing w:before="0" w:beforeAutospacing="0" w:after="0" w:afterAutospacing="0" w:line="360" w:lineRule="auto"/>
        <w:ind w:firstLine="480"/>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一、合同组成及合同价</w:t>
      </w:r>
    </w:p>
    <w:p w14:paraId="43883972">
      <w:pPr>
        <w:pStyle w:val="18"/>
        <w:spacing w:before="0" w:beforeAutospacing="0" w:after="0" w:afterAutospacing="0" w:line="360" w:lineRule="auto"/>
        <w:ind w:firstLine="48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1.1 合同文件组成内容包括：本合同书、</w:t>
      </w:r>
      <w:r>
        <w:rPr>
          <w:rFonts w:hint="eastAsia" w:ascii="宋体" w:hAnsi="宋体" w:eastAsia="宋体" w:cs="Times New Roman"/>
          <w:color w:val="auto"/>
          <w:sz w:val="21"/>
          <w:szCs w:val="21"/>
          <w:highlight w:val="none"/>
          <w:lang w:val="en-US" w:eastAsia="zh-CN"/>
        </w:rPr>
        <w:t>中标</w:t>
      </w:r>
      <w:r>
        <w:rPr>
          <w:rFonts w:hint="eastAsia" w:ascii="宋体" w:hAnsi="宋体" w:eastAsia="宋体" w:cs="Times New Roman"/>
          <w:color w:val="auto"/>
          <w:sz w:val="21"/>
          <w:szCs w:val="21"/>
          <w:highlight w:val="none"/>
        </w:rPr>
        <w:t>通知书</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投标文件</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招标文件</w:t>
      </w:r>
      <w:r>
        <w:rPr>
          <w:rFonts w:ascii="宋体" w:hAnsi="宋体" w:eastAsia="宋体" w:cs="Times New Roman"/>
          <w:color w:val="auto"/>
          <w:sz w:val="21"/>
          <w:szCs w:val="21"/>
          <w:highlight w:val="none"/>
        </w:rPr>
        <w:t>（含</w:t>
      </w:r>
      <w:r>
        <w:rPr>
          <w:rFonts w:hint="eastAsia" w:ascii="宋体" w:hAnsi="宋体" w:eastAsia="宋体" w:cs="Times New Roman"/>
          <w:color w:val="auto"/>
          <w:sz w:val="21"/>
          <w:szCs w:val="21"/>
          <w:highlight w:val="none"/>
          <w:lang w:eastAsia="zh-CN"/>
        </w:rPr>
        <w:t>招标文件</w:t>
      </w:r>
      <w:r>
        <w:rPr>
          <w:rFonts w:ascii="宋体" w:hAnsi="宋体" w:eastAsia="宋体" w:cs="Times New Roman"/>
          <w:color w:val="auto"/>
          <w:sz w:val="21"/>
          <w:szCs w:val="21"/>
          <w:highlight w:val="none"/>
        </w:rPr>
        <w:t>澄清通知）等。</w:t>
      </w:r>
    </w:p>
    <w:p w14:paraId="56FECBD8">
      <w:pPr>
        <w:pStyle w:val="18"/>
        <w:spacing w:before="0" w:beforeAutospacing="0" w:after="0" w:afterAutospacing="0" w:line="360" w:lineRule="auto"/>
        <w:ind w:firstLine="480"/>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1.2</w:t>
      </w:r>
      <w:r>
        <w:rPr>
          <w:rFonts w:hint="eastAsia" w:ascii="宋体" w:hAnsi="宋体" w:eastAsia="宋体" w:cs="Times New Roman"/>
          <w:color w:val="auto"/>
          <w:sz w:val="21"/>
          <w:szCs w:val="21"/>
          <w:highlight w:val="none"/>
        </w:rPr>
        <w:t>合同</w:t>
      </w:r>
      <w:r>
        <w:rPr>
          <w:rFonts w:ascii="宋体" w:hAnsi="宋体" w:eastAsia="宋体" w:cs="Times New Roman"/>
          <w:color w:val="auto"/>
          <w:sz w:val="21"/>
          <w:szCs w:val="21"/>
          <w:highlight w:val="none"/>
        </w:rPr>
        <w:t>价为</w:t>
      </w:r>
      <w:r>
        <w:rPr>
          <w:rFonts w:hint="eastAsia" w:ascii="宋体" w:hAnsi="宋体" w:cs="Times New Roman"/>
          <w:color w:val="auto"/>
          <w:sz w:val="21"/>
          <w:szCs w:val="21"/>
          <w:highlight w:val="none"/>
          <w:lang w:val="en-US" w:eastAsia="zh-CN"/>
        </w:rPr>
        <w:t>下浮率：</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rPr>
        <w:t>（________</w:t>
      </w:r>
      <w:r>
        <w:rPr>
          <w:rFonts w:hint="eastAsia" w:ascii="宋体" w:hAnsi="宋体" w:cs="Times New Roman"/>
          <w:color w:val="auto"/>
          <w:sz w:val="21"/>
          <w:szCs w:val="21"/>
          <w:highlight w:val="none"/>
          <w:lang w:val="en-US" w:eastAsia="zh-CN"/>
        </w:rPr>
        <w:t>%</w:t>
      </w:r>
      <w:r>
        <w:rPr>
          <w:rFonts w:ascii="宋体" w:hAnsi="宋体" w:eastAsia="宋体" w:cs="Times New Roman"/>
          <w:color w:val="auto"/>
          <w:sz w:val="21"/>
          <w:szCs w:val="21"/>
          <w:highlight w:val="none"/>
        </w:rPr>
        <w:t>）</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zh-CN" w:eastAsia="zh-CN"/>
        </w:rPr>
        <w:t>包括人工费、食材采购费、食材运输费、材料费、设备使用费、保险费、各种税务费、必须的辅助材料费及合同实施过程中不可预见费用等全部费用，甲方不向乙方另行支付任何费用。</w:t>
      </w:r>
    </w:p>
    <w:p w14:paraId="0763827A">
      <w:pPr>
        <w:pStyle w:val="18"/>
        <w:spacing w:before="0" w:beforeAutospacing="0" w:after="0" w:afterAutospacing="0" w:line="360" w:lineRule="auto"/>
        <w:ind w:firstLine="480"/>
        <w:rPr>
          <w:rFonts w:ascii="宋体" w:hAnsi="宋体" w:eastAsia="宋体" w:cs="Times New Roman"/>
          <w:b/>
          <w:color w:val="auto"/>
          <w:sz w:val="21"/>
          <w:szCs w:val="21"/>
          <w:highlight w:val="none"/>
        </w:rPr>
      </w:pPr>
    </w:p>
    <w:p w14:paraId="00040DAD">
      <w:pPr>
        <w:pStyle w:val="18"/>
        <w:spacing w:before="0" w:beforeAutospacing="0" w:after="0" w:afterAutospacing="0" w:line="360" w:lineRule="auto"/>
        <w:ind w:firstLine="480"/>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二、</w:t>
      </w:r>
      <w:r>
        <w:rPr>
          <w:rFonts w:hint="eastAsia" w:ascii="宋体" w:hAnsi="宋体" w:eastAsia="宋体" w:cs="Times New Roman"/>
          <w:b/>
          <w:color w:val="auto"/>
          <w:sz w:val="21"/>
          <w:szCs w:val="21"/>
          <w:highlight w:val="none"/>
        </w:rPr>
        <w:t>付款方式</w:t>
      </w:r>
    </w:p>
    <w:p w14:paraId="0207AEEE">
      <w:pPr>
        <w:pStyle w:val="18"/>
        <w:spacing w:before="0" w:beforeAutospacing="0" w:after="0" w:afterAutospacing="0" w:line="360" w:lineRule="auto"/>
        <w:ind w:firstLine="480"/>
        <w:rPr>
          <w:rFonts w:hint="default" w:ascii="宋体" w:hAnsi="宋体" w:eastAsia="宋体" w:cs="Times New Roman"/>
          <w:color w:val="auto"/>
          <w:sz w:val="21"/>
          <w:szCs w:val="21"/>
          <w:highlight w:val="none"/>
          <w:lang w:val="zh-CN"/>
        </w:rPr>
      </w:pPr>
      <w:r>
        <w:rPr>
          <w:rFonts w:hint="default" w:ascii="宋体" w:hAnsi="宋体" w:eastAsia="宋体" w:cs="Times New Roman"/>
          <w:color w:val="auto"/>
          <w:sz w:val="21"/>
          <w:szCs w:val="21"/>
          <w:highlight w:val="none"/>
          <w:lang w:val="zh-CN"/>
        </w:rPr>
        <w:t>1</w:t>
      </w:r>
      <w:r>
        <w:rPr>
          <w:rFonts w:hint="eastAsia" w:ascii="宋体" w:hAnsi="宋体" w:eastAsia="宋体" w:cs="Times New Roman"/>
          <w:color w:val="auto"/>
          <w:sz w:val="21"/>
          <w:szCs w:val="21"/>
          <w:highlight w:val="none"/>
          <w:lang w:val="en-US"/>
        </w:rPr>
        <w:t>.</w:t>
      </w:r>
      <w:r>
        <w:rPr>
          <w:rFonts w:hint="default" w:ascii="宋体" w:hAnsi="宋体" w:eastAsia="宋体" w:cs="Times New Roman"/>
          <w:color w:val="auto"/>
          <w:sz w:val="21"/>
          <w:szCs w:val="21"/>
          <w:highlight w:val="none"/>
          <w:lang w:val="zh-CN"/>
        </w:rPr>
        <w:t>每月结算一次，</w:t>
      </w:r>
      <w:r>
        <w:rPr>
          <w:rFonts w:hint="eastAsia" w:ascii="宋体" w:hAnsi="宋体" w:eastAsia="宋体" w:cs="Times New Roman"/>
          <w:color w:val="auto"/>
          <w:sz w:val="21"/>
          <w:szCs w:val="21"/>
          <w:highlight w:val="none"/>
          <w:lang w:val="zh-CN"/>
        </w:rPr>
        <w:t>甲方</w:t>
      </w:r>
      <w:r>
        <w:rPr>
          <w:rFonts w:hint="default" w:ascii="宋体" w:hAnsi="宋体" w:eastAsia="宋体" w:cs="Times New Roman"/>
          <w:color w:val="auto"/>
          <w:sz w:val="21"/>
          <w:szCs w:val="21"/>
          <w:highlight w:val="none"/>
          <w:lang w:val="zh-CN"/>
        </w:rPr>
        <w:t>和</w:t>
      </w:r>
      <w:r>
        <w:rPr>
          <w:rFonts w:hint="eastAsia" w:ascii="宋体" w:hAnsi="宋体" w:eastAsia="宋体" w:cs="Times New Roman"/>
          <w:color w:val="auto"/>
          <w:sz w:val="21"/>
          <w:szCs w:val="21"/>
          <w:highlight w:val="none"/>
          <w:lang w:val="zh-CN"/>
        </w:rPr>
        <w:t>乙方</w:t>
      </w:r>
      <w:r>
        <w:rPr>
          <w:rFonts w:hint="default" w:ascii="宋体" w:hAnsi="宋体" w:eastAsia="宋体" w:cs="Times New Roman"/>
          <w:color w:val="auto"/>
          <w:sz w:val="21"/>
          <w:szCs w:val="21"/>
          <w:highlight w:val="none"/>
          <w:lang w:val="zh-CN"/>
        </w:rPr>
        <w:t>按定价说明确定供货价格，结算公式：结算价格＝结算基准价×实际供货数量-考核表扣款（如有），</w:t>
      </w:r>
      <w:r>
        <w:rPr>
          <w:rFonts w:hint="eastAsia" w:ascii="宋体" w:hAnsi="宋体" w:eastAsia="宋体" w:cs="Times New Roman"/>
          <w:color w:val="auto"/>
          <w:sz w:val="21"/>
          <w:szCs w:val="21"/>
          <w:highlight w:val="none"/>
          <w:lang w:val="zh-CN"/>
        </w:rPr>
        <w:t>乙方</w:t>
      </w:r>
      <w:r>
        <w:rPr>
          <w:rFonts w:hint="default" w:ascii="宋体" w:hAnsi="宋体" w:eastAsia="宋体" w:cs="Times New Roman"/>
          <w:color w:val="auto"/>
          <w:sz w:val="21"/>
          <w:szCs w:val="21"/>
          <w:highlight w:val="none"/>
          <w:lang w:val="zh-CN"/>
        </w:rPr>
        <w:t>完成当月供货订单后，次月10号前根据上月的收货凭证与</w:t>
      </w:r>
      <w:r>
        <w:rPr>
          <w:rFonts w:hint="eastAsia" w:ascii="宋体" w:hAnsi="宋体" w:eastAsia="宋体" w:cs="Times New Roman"/>
          <w:color w:val="auto"/>
          <w:sz w:val="21"/>
          <w:szCs w:val="21"/>
          <w:highlight w:val="none"/>
          <w:lang w:val="zh-CN"/>
        </w:rPr>
        <w:t>甲方</w:t>
      </w:r>
      <w:r>
        <w:rPr>
          <w:rFonts w:hint="default" w:ascii="宋体" w:hAnsi="宋体" w:eastAsia="宋体" w:cs="Times New Roman"/>
          <w:color w:val="auto"/>
          <w:sz w:val="21"/>
          <w:szCs w:val="21"/>
          <w:highlight w:val="none"/>
          <w:lang w:val="zh-CN"/>
        </w:rPr>
        <w:t>对上月货款、考核表进行确认，并向</w:t>
      </w:r>
      <w:r>
        <w:rPr>
          <w:rFonts w:hint="eastAsia" w:ascii="宋体" w:hAnsi="宋体" w:eastAsia="宋体" w:cs="Times New Roman"/>
          <w:color w:val="auto"/>
          <w:sz w:val="21"/>
          <w:szCs w:val="21"/>
          <w:highlight w:val="none"/>
          <w:lang w:val="zh-CN"/>
        </w:rPr>
        <w:t>甲方</w:t>
      </w:r>
      <w:r>
        <w:rPr>
          <w:rFonts w:hint="default" w:ascii="宋体" w:hAnsi="宋体" w:eastAsia="宋体" w:cs="Times New Roman"/>
          <w:color w:val="auto"/>
          <w:sz w:val="21"/>
          <w:szCs w:val="21"/>
          <w:highlight w:val="none"/>
          <w:lang w:val="zh-CN"/>
        </w:rPr>
        <w:t>提出付款申请及开具相应数额的含税发票。</w:t>
      </w:r>
      <w:r>
        <w:rPr>
          <w:rFonts w:hint="eastAsia" w:ascii="宋体" w:hAnsi="宋体" w:eastAsia="宋体" w:cs="Times New Roman"/>
          <w:color w:val="auto"/>
          <w:sz w:val="21"/>
          <w:szCs w:val="21"/>
          <w:highlight w:val="none"/>
          <w:lang w:val="zh-CN"/>
        </w:rPr>
        <w:t>甲方</w:t>
      </w:r>
      <w:r>
        <w:rPr>
          <w:rFonts w:hint="default" w:ascii="宋体" w:hAnsi="宋体" w:eastAsia="宋体" w:cs="Times New Roman"/>
          <w:color w:val="auto"/>
          <w:sz w:val="21"/>
          <w:szCs w:val="21"/>
          <w:highlight w:val="none"/>
          <w:lang w:val="zh-CN"/>
        </w:rPr>
        <w:t>收到申请核对无误后在15个工作日内结清上月所有货款。</w:t>
      </w:r>
    </w:p>
    <w:p w14:paraId="1387C75B">
      <w:pPr>
        <w:pStyle w:val="18"/>
        <w:spacing w:before="0" w:beforeAutospacing="0" w:after="0" w:afterAutospacing="0" w:line="360" w:lineRule="auto"/>
        <w:ind w:firstLine="480"/>
        <w:rPr>
          <w:rFonts w:hint="default" w:ascii="宋体" w:hAnsi="宋体" w:eastAsia="宋体" w:cs="Times New Roman"/>
          <w:color w:val="auto"/>
          <w:sz w:val="21"/>
          <w:szCs w:val="21"/>
          <w:highlight w:val="none"/>
          <w:lang w:val="zh-CN"/>
        </w:rPr>
      </w:pPr>
      <w:r>
        <w:rPr>
          <w:rFonts w:hint="default" w:ascii="宋体" w:hAnsi="宋体" w:eastAsia="宋体" w:cs="Times New Roman"/>
          <w:color w:val="auto"/>
          <w:sz w:val="21"/>
          <w:szCs w:val="21"/>
          <w:highlight w:val="none"/>
          <w:lang w:val="zh-CN"/>
        </w:rPr>
        <w:t>2</w:t>
      </w:r>
      <w:r>
        <w:rPr>
          <w:rFonts w:hint="eastAsia" w:ascii="宋体" w:hAnsi="宋体" w:eastAsia="宋体" w:cs="Times New Roman"/>
          <w:color w:val="auto"/>
          <w:sz w:val="21"/>
          <w:szCs w:val="21"/>
          <w:highlight w:val="none"/>
          <w:lang w:val="en-US"/>
        </w:rPr>
        <w:t>.</w:t>
      </w:r>
      <w:r>
        <w:rPr>
          <w:rFonts w:hint="default" w:ascii="宋体" w:hAnsi="宋体" w:eastAsia="宋体" w:cs="Times New Roman"/>
          <w:color w:val="auto"/>
          <w:sz w:val="21"/>
          <w:szCs w:val="21"/>
          <w:highlight w:val="none"/>
          <w:lang w:val="zh-CN"/>
        </w:rPr>
        <w:t>收款方、发票的销售方、合同乙方均必须与</w:t>
      </w:r>
      <w:r>
        <w:rPr>
          <w:rFonts w:hint="eastAsia" w:ascii="宋体" w:hAnsi="宋体" w:eastAsia="宋体" w:cs="Times New Roman"/>
          <w:color w:val="auto"/>
          <w:sz w:val="21"/>
          <w:szCs w:val="21"/>
          <w:highlight w:val="none"/>
          <w:lang w:val="zh-CN"/>
        </w:rPr>
        <w:t>乙方</w:t>
      </w:r>
      <w:r>
        <w:rPr>
          <w:rFonts w:hint="default" w:ascii="宋体" w:hAnsi="宋体" w:eastAsia="宋体" w:cs="Times New Roman"/>
          <w:color w:val="auto"/>
          <w:sz w:val="21"/>
          <w:szCs w:val="21"/>
          <w:highlight w:val="none"/>
          <w:lang w:val="zh-CN"/>
        </w:rPr>
        <w:t>名称一致。</w:t>
      </w:r>
    </w:p>
    <w:p w14:paraId="718F45D9">
      <w:pPr>
        <w:pStyle w:val="18"/>
        <w:spacing w:before="0" w:beforeAutospacing="0" w:after="0" w:afterAutospacing="0" w:line="360" w:lineRule="auto"/>
        <w:ind w:firstLine="480"/>
        <w:rPr>
          <w:rFonts w:hint="default" w:ascii="宋体" w:hAnsi="宋体" w:eastAsia="宋体" w:cs="Times New Roman"/>
          <w:color w:val="auto"/>
          <w:sz w:val="21"/>
          <w:szCs w:val="21"/>
          <w:highlight w:val="none"/>
          <w:lang w:val="zh-CN"/>
        </w:rPr>
      </w:pPr>
      <w:r>
        <w:rPr>
          <w:rFonts w:hint="default" w:ascii="宋体" w:hAnsi="宋体" w:eastAsia="宋体" w:cs="Times New Roman"/>
          <w:color w:val="auto"/>
          <w:sz w:val="21"/>
          <w:szCs w:val="21"/>
          <w:highlight w:val="none"/>
          <w:lang w:val="zh-CN"/>
        </w:rPr>
        <w:t>3</w:t>
      </w:r>
      <w:r>
        <w:rPr>
          <w:rFonts w:hint="eastAsia" w:ascii="宋体" w:hAnsi="宋体" w:eastAsia="宋体" w:cs="Times New Roman"/>
          <w:color w:val="auto"/>
          <w:sz w:val="21"/>
          <w:szCs w:val="21"/>
          <w:highlight w:val="none"/>
          <w:lang w:val="en-US"/>
        </w:rPr>
        <w:t>.</w:t>
      </w:r>
      <w:r>
        <w:rPr>
          <w:rFonts w:hint="default" w:ascii="宋体" w:hAnsi="宋体" w:eastAsia="宋体" w:cs="Times New Roman"/>
          <w:color w:val="auto"/>
          <w:sz w:val="21"/>
          <w:szCs w:val="21"/>
          <w:highlight w:val="none"/>
          <w:lang w:val="zh-CN"/>
        </w:rPr>
        <w:t>因特殊原因需要提早或延迟结算的，经</w:t>
      </w:r>
      <w:r>
        <w:rPr>
          <w:rFonts w:hint="eastAsia" w:ascii="宋体" w:hAnsi="宋体" w:eastAsia="宋体" w:cs="Times New Roman"/>
          <w:color w:val="auto"/>
          <w:sz w:val="21"/>
          <w:szCs w:val="21"/>
          <w:highlight w:val="none"/>
          <w:lang w:val="zh-CN"/>
        </w:rPr>
        <w:t>甲方</w:t>
      </w:r>
      <w:r>
        <w:rPr>
          <w:rFonts w:hint="default" w:ascii="宋体" w:hAnsi="宋体" w:eastAsia="宋体" w:cs="Times New Roman"/>
          <w:color w:val="auto"/>
          <w:sz w:val="21"/>
          <w:szCs w:val="21"/>
          <w:highlight w:val="none"/>
          <w:lang w:val="zh-CN"/>
        </w:rPr>
        <w:t>和</w:t>
      </w:r>
      <w:r>
        <w:rPr>
          <w:rFonts w:hint="eastAsia" w:ascii="宋体" w:hAnsi="宋体" w:eastAsia="宋体" w:cs="Times New Roman"/>
          <w:color w:val="auto"/>
          <w:sz w:val="21"/>
          <w:szCs w:val="21"/>
          <w:highlight w:val="none"/>
          <w:lang w:val="zh-CN"/>
        </w:rPr>
        <w:t>乙方</w:t>
      </w:r>
      <w:r>
        <w:rPr>
          <w:rFonts w:hint="default" w:ascii="宋体" w:hAnsi="宋体" w:eastAsia="宋体" w:cs="Times New Roman"/>
          <w:color w:val="auto"/>
          <w:sz w:val="21"/>
          <w:szCs w:val="21"/>
          <w:highlight w:val="none"/>
          <w:lang w:val="zh-CN"/>
        </w:rPr>
        <w:t>双方协商一致后执行。</w:t>
      </w:r>
    </w:p>
    <w:p w14:paraId="771DEA37">
      <w:pPr>
        <w:pStyle w:val="18"/>
        <w:spacing w:before="0" w:beforeAutospacing="0" w:after="0" w:afterAutospacing="0" w:line="360" w:lineRule="auto"/>
        <w:ind w:firstLine="48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4.定价说明如下：</w:t>
      </w:r>
    </w:p>
    <w:p w14:paraId="7705E9CB">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①</w:t>
      </w:r>
      <w:r>
        <w:rPr>
          <w:rFonts w:hint="default" w:ascii="宋体" w:hAnsi="宋体" w:cs="Times New Roman"/>
          <w:color w:val="auto"/>
          <w:sz w:val="21"/>
          <w:szCs w:val="21"/>
          <w:highlight w:val="none"/>
          <w:lang w:val="en-US" w:eastAsia="zh-CN"/>
        </w:rPr>
        <w:t>乙方供货价需按照当前时段东莞市发展和改革局公布同期“广东省菜篮子价格监测表”中最新一期的“东莞市菜篮子价格监测表”的价格为基准价进行下浮，乙方须于《东莞市发展和改革局》网站最新价格挂出后第二天向甲方提供最新一期的价格表，当周基准价格一经确定，双方须严格执行，不受市场物价波动影响，不得调价。乙方原则上每隔一个周调整一次价格，每次调整价格经甲方确认后方可开始执行。</w:t>
      </w:r>
    </w:p>
    <w:p w14:paraId="0E771C46">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②</w:t>
      </w:r>
      <w:r>
        <w:rPr>
          <w:rFonts w:hint="default" w:ascii="宋体" w:hAnsi="宋体" w:cs="Times New Roman"/>
          <w:color w:val="auto"/>
          <w:sz w:val="21"/>
          <w:szCs w:val="21"/>
          <w:highlight w:val="none"/>
          <w:lang w:val="en-US" w:eastAsia="zh-CN"/>
        </w:rPr>
        <w:t>若东莞市发展和改革局网站上无发布的产品（部分特定牌子的产品除外）则由甲方和乙方双方共同在周边市场（不少于三个）参考同类产品价格的平均价作为基准价进行下浮（即基准价=市场平均价=N个市场抽样价格之和÷N），供货价即为基准价×【1-中标下浮率】。</w:t>
      </w:r>
    </w:p>
    <w:p w14:paraId="4FA05EDB">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③</w:t>
      </w:r>
      <w:r>
        <w:rPr>
          <w:rFonts w:hint="default" w:ascii="宋体" w:hAnsi="宋体" w:cs="Times New Roman"/>
          <w:color w:val="auto"/>
          <w:sz w:val="21"/>
          <w:szCs w:val="21"/>
          <w:highlight w:val="none"/>
          <w:lang w:val="en-US" w:eastAsia="zh-CN"/>
        </w:rPr>
        <w:t>所供食材价格包含一切费用，主要包括购货或自产养（种）植成本、包装费、运输费、装卸费、搬运费、储存费、人工费、检验检疫费、质量检测费、保险费、各种税费及合同实施过程中的应预见和不可预见费用等。在项目的实施过程中，乙方必须充分考虑在本项目实施期间的一切可能产生的风险和相关费用，甲方无需支付合同约定货款之外的任何费用和补偿。</w:t>
      </w:r>
    </w:p>
    <w:p w14:paraId="587A53A1">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④</w:t>
      </w:r>
      <w:r>
        <w:rPr>
          <w:rFonts w:hint="default" w:ascii="宋体" w:hAnsi="宋体" w:cs="Times New Roman"/>
          <w:color w:val="auto"/>
          <w:sz w:val="21"/>
          <w:szCs w:val="21"/>
          <w:highlight w:val="none"/>
          <w:lang w:val="en-US" w:eastAsia="zh-CN"/>
        </w:rPr>
        <w:t>如生产商或批发商统一调整价格或新增食材，乙方须及时书面通知甲方并附相关资料。价格下调时，应给予甲方相同的价格下调幅度；价格上升时，须提供生产商或批发商调价通知书等书面证明材料原件，经甲方审核后执行新的价格。</w:t>
      </w:r>
    </w:p>
    <w:p w14:paraId="73E4A29F">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⑤</w:t>
      </w:r>
      <w:r>
        <w:rPr>
          <w:rFonts w:hint="default" w:ascii="宋体" w:hAnsi="宋体" w:cs="Times New Roman"/>
          <w:color w:val="auto"/>
          <w:sz w:val="21"/>
          <w:szCs w:val="21"/>
          <w:highlight w:val="none"/>
          <w:lang w:val="en-US" w:eastAsia="zh-CN"/>
        </w:rPr>
        <w:t>甲方有权随时抽查乙方的供货食材入货台账或进行市场调查，发现乙方有虚报或隐瞒供货食材市场价存在欺骗行为，甲方有权取消其中标资格，终止合同。</w:t>
      </w:r>
    </w:p>
    <w:p w14:paraId="688E3E66">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⑥</w:t>
      </w:r>
      <w:r>
        <w:rPr>
          <w:rFonts w:hint="default" w:ascii="宋体" w:hAnsi="宋体" w:cs="Times New Roman"/>
          <w:color w:val="auto"/>
          <w:sz w:val="21"/>
          <w:szCs w:val="21"/>
          <w:highlight w:val="none"/>
          <w:lang w:val="en-US" w:eastAsia="zh-CN"/>
        </w:rPr>
        <w:t>甲方临时需求货品不在核定的供货价格清单内的，乙方必须按甲方要求供货，供货价格由双方临时确定。下次该货品应纳入报价清单，并按上述定价原则确定供货价格。</w:t>
      </w:r>
    </w:p>
    <w:p w14:paraId="7A4693EB">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⑦</w:t>
      </w:r>
      <w:r>
        <w:rPr>
          <w:rFonts w:hint="default" w:ascii="宋体" w:hAnsi="宋体" w:cs="Times New Roman"/>
          <w:color w:val="auto"/>
          <w:sz w:val="21"/>
          <w:szCs w:val="21"/>
          <w:highlight w:val="none"/>
          <w:lang w:val="en-US" w:eastAsia="zh-CN"/>
        </w:rPr>
        <w:t>若遇台风、暴雨等意外原因造成的个别品种价格需临时调整，应通知甲方，并征得甲方同意后方可调整，每次送货按通知价格计算。</w:t>
      </w:r>
    </w:p>
    <w:p w14:paraId="0E3523C6">
      <w:pPr>
        <w:pStyle w:val="18"/>
        <w:spacing w:before="0" w:beforeAutospacing="0" w:after="0" w:afterAutospacing="0" w:line="360" w:lineRule="auto"/>
        <w:ind w:firstLine="48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⑧</w:t>
      </w:r>
      <w:r>
        <w:rPr>
          <w:rFonts w:hint="default" w:ascii="宋体" w:hAnsi="宋体" w:cs="Times New Roman"/>
          <w:color w:val="auto"/>
          <w:sz w:val="21"/>
          <w:szCs w:val="21"/>
          <w:highlight w:val="none"/>
          <w:lang w:val="en-US" w:eastAsia="zh-CN"/>
        </w:rPr>
        <w:t>定价周期：每周更新一次，乙方每次至少提前2天提交下次报价清单给甲方审核，双方签字后生效。</w:t>
      </w:r>
    </w:p>
    <w:p w14:paraId="77C105E5">
      <w:pPr>
        <w:pStyle w:val="18"/>
        <w:spacing w:before="0" w:beforeAutospacing="0" w:after="0" w:afterAutospacing="0" w:line="360" w:lineRule="auto"/>
        <w:ind w:firstLine="480"/>
        <w:rPr>
          <w:rFonts w:hint="eastAsia" w:ascii="宋体" w:hAnsi="宋体" w:cs="Times New Roman"/>
          <w:b/>
          <w:color w:val="auto"/>
          <w:sz w:val="21"/>
          <w:szCs w:val="21"/>
          <w:highlight w:val="none"/>
          <w:lang w:val="en-US" w:eastAsia="zh-CN"/>
        </w:rPr>
      </w:pPr>
    </w:p>
    <w:p w14:paraId="616BFEAD">
      <w:pPr>
        <w:pStyle w:val="18"/>
        <w:spacing w:before="0" w:beforeAutospacing="0" w:after="0" w:afterAutospacing="0" w:line="360" w:lineRule="auto"/>
        <w:ind w:firstLine="480"/>
        <w:rPr>
          <w:rFonts w:hint="default" w:ascii="宋体" w:hAnsi="宋体" w:eastAsia="宋体" w:cs="Times New Roman"/>
          <w:b/>
          <w:color w:val="auto"/>
          <w:sz w:val="21"/>
          <w:szCs w:val="21"/>
          <w:highlight w:val="none"/>
          <w:lang w:val="en-US" w:eastAsia="zh-CN"/>
        </w:rPr>
      </w:pPr>
      <w:r>
        <w:rPr>
          <w:rFonts w:hint="eastAsia" w:ascii="宋体" w:hAnsi="宋体" w:cs="Times New Roman"/>
          <w:b/>
          <w:color w:val="auto"/>
          <w:sz w:val="21"/>
          <w:szCs w:val="21"/>
          <w:highlight w:val="none"/>
          <w:lang w:val="en-US" w:eastAsia="zh-CN"/>
        </w:rPr>
        <w:t>三、服务期及服务地点</w:t>
      </w:r>
    </w:p>
    <w:p w14:paraId="367D2B72">
      <w:pPr>
        <w:pStyle w:val="18"/>
        <w:spacing w:before="0" w:beforeAutospacing="0" w:after="0" w:afterAutospacing="0" w:line="360" w:lineRule="auto"/>
        <w:ind w:firstLine="48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1.服务期：三年；自2025年    月    日至2028年    月    日止。</w:t>
      </w:r>
    </w:p>
    <w:p w14:paraId="17D1E662">
      <w:pPr>
        <w:pStyle w:val="18"/>
        <w:spacing w:before="0" w:beforeAutospacing="0" w:after="0" w:afterAutospacing="0" w:line="360" w:lineRule="auto"/>
        <w:ind w:firstLine="48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2.服务地点：甲方指定地点。</w:t>
      </w:r>
    </w:p>
    <w:p w14:paraId="3477C80D">
      <w:pPr>
        <w:pStyle w:val="18"/>
        <w:spacing w:before="0" w:beforeAutospacing="0" w:after="0" w:afterAutospacing="0" w:line="360" w:lineRule="auto"/>
        <w:ind w:firstLine="480"/>
        <w:rPr>
          <w:rFonts w:hint="eastAsia" w:ascii="宋体" w:hAnsi="宋体" w:cs="Times New Roman"/>
          <w:b/>
          <w:color w:val="auto"/>
          <w:sz w:val="21"/>
          <w:szCs w:val="21"/>
          <w:highlight w:val="none"/>
          <w:lang w:val="en-US" w:eastAsia="zh-CN"/>
        </w:rPr>
      </w:pPr>
    </w:p>
    <w:p w14:paraId="67EF37D6">
      <w:pPr>
        <w:pStyle w:val="18"/>
        <w:spacing w:before="0" w:beforeAutospacing="0" w:after="0" w:afterAutospacing="0" w:line="360" w:lineRule="auto"/>
        <w:ind w:firstLine="480"/>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lang w:val="en-US" w:eastAsia="zh-CN"/>
        </w:rPr>
        <w:t>四</w:t>
      </w:r>
      <w:r>
        <w:rPr>
          <w:rFonts w:hint="eastAsia" w:ascii="宋体" w:hAnsi="宋体" w:eastAsia="宋体" w:cs="Times New Roman"/>
          <w:b/>
          <w:color w:val="auto"/>
          <w:sz w:val="21"/>
          <w:szCs w:val="21"/>
          <w:highlight w:val="none"/>
        </w:rPr>
        <w:t>、服务内容</w:t>
      </w:r>
    </w:p>
    <w:p w14:paraId="37178122">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食材服务需求</w:t>
      </w:r>
    </w:p>
    <w:p w14:paraId="07CD4572">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color w:val="auto"/>
          <w:sz w:val="21"/>
          <w:szCs w:val="21"/>
          <w:highlight w:val="none"/>
        </w:rPr>
        <w:t>质量要求</w:t>
      </w:r>
    </w:p>
    <w:p w14:paraId="6E3C8C1A">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1</w:t>
      </w:r>
      <w:r>
        <w:rPr>
          <w:rFonts w:hint="default"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粮油类配送采购要求</w:t>
      </w:r>
    </w:p>
    <w:p w14:paraId="7E8AE94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（1）供应产品的质量要求：</w:t>
      </w:r>
    </w:p>
    <w:p w14:paraId="5522C5BC">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14:paraId="4850CD5A">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所提供产品质量必须要符合行业标准要求，不得有掺假、变质、变味、过期等现象出现，严禁伪劣、假冒、无证不合格物品进入仓库。</w:t>
      </w:r>
    </w:p>
    <w:p w14:paraId="4DA50C41">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在供应过程中，如果发生出现质量问题或造成食物中毒,如变质等情况，经查实后确属</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责任，</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应承担全部责任，主要包括食物中毒人员医疗费、误工费、事故处理费等，直至追究刑事责任。</w:t>
      </w:r>
    </w:p>
    <w:p w14:paraId="2D752033">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14:paraId="43CD705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①米类执行标准：GB/T1354-2018　标准一等米不含添加剂</w:t>
      </w:r>
    </w:p>
    <w:p w14:paraId="51C5A08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14:paraId="5DA1A423">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碎米总量≤17%（国家标准：≤35%）</w:t>
      </w:r>
    </w:p>
    <w:p w14:paraId="71FB553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小碎米总量≤2%（国家标准：≤2.5%）</w:t>
      </w:r>
    </w:p>
    <w:p w14:paraId="72AF3B8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不完善粒≤3.5%（国家标准：≤4.0%）</w:t>
      </w:r>
    </w:p>
    <w:p w14:paraId="2D60800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w:t>
      </w:r>
    </w:p>
    <w:p w14:paraId="43878A2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③油类质量要求：</w:t>
      </w:r>
    </w:p>
    <w:p w14:paraId="4E58972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mg/kg～0.2mg/kg)、汞（0.02mg/kg）、无机砷（0.1mg/kg～0.2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将承担全部责任。</w:t>
      </w:r>
    </w:p>
    <w:p w14:paraId="6D17FC14">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default"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副食品供应货品质量要求</w:t>
      </w:r>
    </w:p>
    <w:p w14:paraId="72296E97">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副食品包括但不限于牛奶、食糖、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14:paraId="326E17DD">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14:paraId="47E55CCB">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14:paraId="108BC0EE">
      <w:pPr>
        <w:widowControl w:val="0"/>
        <w:numPr>
          <w:ilvl w:val="0"/>
          <w:numId w:val="0"/>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3</w:t>
      </w:r>
      <w:r>
        <w:rPr>
          <w:rFonts w:hint="default"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蔬菜瓜果供应货品质量要求</w:t>
      </w:r>
    </w:p>
    <w:p w14:paraId="7BEA67CC">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的蔬菜须确保鲜嫩度，不得有黄叶、斑点、腐烂或有异常味道，利用率不得低于95%，且不含有残留农药或污染物，并出具有效的《农产品检验报告》。卫生质量指标，应符合我国无公害蔬菜上的卫生指标规定。</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对所配送蔬菜进行二次农残检测，如含量超标</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无条件退货或换货，同时做好相关记录。</w:t>
      </w:r>
    </w:p>
    <w:p w14:paraId="4117CE50">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需设自检测室或有固定的送检机构，每天所供蔬菜类都要提供农药残留的检测报告，并交</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存档备查。</w:t>
      </w:r>
    </w:p>
    <w:p w14:paraId="78E8D756">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(3)乙方</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14:paraId="63593FE6">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立即通知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将问题货品进行退换货处理。如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所供应货品出现质量问题造成食品安全事故，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应承担全部责任和经济损失。</w:t>
      </w:r>
    </w:p>
    <w:p w14:paraId="6DA629EB">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14:paraId="7427A509">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14:paraId="6C3B04D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14:paraId="47E0E16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14:paraId="038ACBF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14:paraId="4139F98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14:paraId="3E77A18A">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2DB0D704">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14:paraId="0D2A93E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14:paraId="3F53DF0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14:paraId="631F812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14:paraId="3A1F836A">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14:paraId="6F0A72AF">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77169666">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color w:val="auto"/>
          <w:sz w:val="21"/>
          <w:szCs w:val="21"/>
          <w:highlight w:val="none"/>
        </w:rPr>
        <w:t>配送要求</w:t>
      </w:r>
    </w:p>
    <w:p w14:paraId="02A11B2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1566E12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14:paraId="244DFD6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14:paraId="728F0B5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14:paraId="327983C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要免费提供运送及卸货服务。</w:t>
      </w:r>
    </w:p>
    <w:p w14:paraId="5CD5BB7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要求的货品规格、数量、质量配送，如数量不足的，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应立即补足；如有10%以下（含10%）货品规格、质量不符合要求的，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应对不符合要求的货品进行更换；如有10%以上的货品规格、质量不符合要求的，由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选择整批退货或要求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按时整批更换。</w:t>
      </w:r>
    </w:p>
    <w:p w14:paraId="397B08CC">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3、</w:t>
      </w:r>
      <w:r>
        <w:rPr>
          <w:rFonts w:hint="eastAsia" w:ascii="宋体" w:hAnsi="宋体" w:cs="宋体"/>
          <w:b/>
          <w:color w:val="auto"/>
          <w:sz w:val="21"/>
          <w:szCs w:val="21"/>
          <w:highlight w:val="none"/>
          <w:lang w:eastAsia="zh-CN"/>
        </w:rPr>
        <w:t>乙方</w:t>
      </w:r>
      <w:r>
        <w:rPr>
          <w:rFonts w:hint="eastAsia" w:ascii="宋体" w:hAnsi="宋体" w:eastAsia="宋体" w:cs="宋体"/>
          <w:b/>
          <w:color w:val="auto"/>
          <w:sz w:val="21"/>
          <w:szCs w:val="21"/>
          <w:highlight w:val="none"/>
        </w:rPr>
        <w:t>需设立自有检测室或有固定的送检机构，每种蔬菜每天都要随货提供农药残留的检测报告，食品检测人员或检测机构资料交</w:t>
      </w:r>
      <w:r>
        <w:rPr>
          <w:rFonts w:hint="eastAsia" w:ascii="宋体" w:hAnsi="宋体" w:cs="宋体"/>
          <w:b/>
          <w:color w:val="auto"/>
          <w:sz w:val="21"/>
          <w:szCs w:val="21"/>
          <w:highlight w:val="none"/>
          <w:lang w:eastAsia="zh-CN"/>
        </w:rPr>
        <w:t>甲方</w:t>
      </w:r>
      <w:r>
        <w:rPr>
          <w:rFonts w:hint="eastAsia" w:ascii="宋体" w:hAnsi="宋体" w:eastAsia="宋体" w:cs="宋体"/>
          <w:b/>
          <w:color w:val="auto"/>
          <w:sz w:val="21"/>
          <w:szCs w:val="21"/>
          <w:highlight w:val="none"/>
        </w:rPr>
        <w:t>存档备查。</w:t>
      </w:r>
    </w:p>
    <w:p w14:paraId="366E56F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14:paraId="5A626F6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14:paraId="4DFA695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立即通知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，将问题货品作退换货处理。</w:t>
      </w:r>
    </w:p>
    <w:p w14:paraId="40395C7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所供应货品出现质量问题造成食品安全事故，经查实后属</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责任的，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应承担全部责任和经济损失。</w:t>
      </w:r>
    </w:p>
    <w:p w14:paraId="2723D2E3">
      <w:pPr>
        <w:bidi w:val="0"/>
        <w:rPr>
          <w:rFonts w:hint="eastAsia"/>
          <w:color w:val="auto"/>
          <w:highlight w:val="none"/>
        </w:rPr>
      </w:pPr>
    </w:p>
    <w:p w14:paraId="0FFCDF5F">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内容</w:t>
      </w:r>
      <w:r>
        <w:rPr>
          <w:rFonts w:hint="eastAsia" w:ascii="宋体" w:hAnsi="宋体" w:eastAsia="宋体" w:cs="宋体"/>
          <w:b/>
          <w:color w:val="auto"/>
          <w:sz w:val="21"/>
          <w:szCs w:val="21"/>
          <w:highlight w:val="none"/>
        </w:rPr>
        <w:t>说明</w:t>
      </w:r>
    </w:p>
    <w:p w14:paraId="0E010FA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应当根据</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实际情况，按照与</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的约定，在规定的时间内将预定的货物如数送到指定地点。除发生客观不可抗力的情况外，</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不得推迟送货。如确需延迟送货的，</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应在得知情况的同时告知</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并征得</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同意，由于</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延迟造成</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利益受损的，</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有权要求</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赔偿。</w:t>
      </w:r>
    </w:p>
    <w:p w14:paraId="66FBDE8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2.水产品类一般每天送货1-2次；蔬菜类一般每天送货1次，</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在前一天确认采购订单；调味品类一般一个星期送货一次，</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至少提前一天确认采购订单。每次订单不论数量多少，</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都必须按</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要求配送。对于临时性采购订单，</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须积极配合，按照</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要求按时、按质、按量将货品配送到指定地点。</w:t>
      </w:r>
    </w:p>
    <w:p w14:paraId="54036E4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需要临时增加补货，</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必须在采购要求的时间内将货物保质保量送到</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指定地点。具体配送时间以</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实际要求为准。</w:t>
      </w:r>
    </w:p>
    <w:p w14:paraId="1CB1EC4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负责货品配送前的仓储，</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不提供仓库。</w:t>
      </w:r>
    </w:p>
    <w:p w14:paraId="5407C4B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.在</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签收之前，货物的所有权和风险属于</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，货物发生遗失、损坏由</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w:t>
      </w:r>
    </w:p>
    <w:p w14:paraId="5B42B96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须严格按照</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的订单配送货品，不得随意增减数量或改变品种。如因市场流通问题确实需要变更供货内容的，</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应在得知情况的同时书面告知</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并征得</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同意后方可变更，否则，</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有权拒收，由此产生的一切损失和费用由</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w:t>
      </w:r>
    </w:p>
    <w:p w14:paraId="485B09DA">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不能按核定的供货价交付的某些货品、不能提供与其承诺相符的服务或</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存在违反招标文件和合同的行为，并且不予纠正的，将取消其中标资格。此项下违约行为包括但不限于下列各项：</w:t>
      </w:r>
    </w:p>
    <w:p w14:paraId="3944FA4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在收到</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订货要求后，在承诺的供货时间内不能供货的。</w:t>
      </w:r>
    </w:p>
    <w:p w14:paraId="63F9759B">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未能提供承诺的服务的。</w:t>
      </w:r>
    </w:p>
    <w:p w14:paraId="5EE95D8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不能在约定时间内提供合法票据进行结算的。</w:t>
      </w:r>
    </w:p>
    <w:p w14:paraId="49F6AF2E">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送货专员在</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单位活动但不遵守</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单位各项规章制度或做出有损</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形象和利益的事情的。</w:t>
      </w:r>
    </w:p>
    <w:p w14:paraId="32BA6D5B">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泄露</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的秘密的。如泄密行为造成</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损失的，</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将承担由此产生的一切损失和法律责任。</w:t>
      </w:r>
    </w:p>
    <w:p w14:paraId="4032DE8D">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其他要求</w:t>
      </w:r>
    </w:p>
    <w:p w14:paraId="1B43C45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必须服从</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的监督、管理，配合</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到农场基地、食物配送点进行现场考察。</w:t>
      </w:r>
    </w:p>
    <w:p w14:paraId="40703DE1">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2.食品供应链要求：所有食品的来源必须清晰可追溯和追责。</w:t>
      </w:r>
    </w:p>
    <w:p w14:paraId="5B4DDDF1">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需配合</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要求，落实我市关于采购贫困地区农副产品的相关政策要求，通过贫困地区农副产品网络销售平台或定向扶贫地区采购贫困地区农副产品。</w:t>
      </w:r>
    </w:p>
    <w:p w14:paraId="64A67491">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相关说明</w:t>
      </w:r>
    </w:p>
    <w:p w14:paraId="3A476C5C">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w:t>
      </w:r>
      <w:r>
        <w:rPr>
          <w:rFonts w:hint="eastAsia" w:asci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损失等情况的，</w:t>
      </w:r>
      <w:r>
        <w:rPr>
          <w:rFonts w:hint="eastAsia" w:asci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有权视情节分别给予警告、没收采购履约担保或取消协议服务资格等处罚。</w:t>
      </w:r>
    </w:p>
    <w:p w14:paraId="15F9E974">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被取消配送服务资格而造成服务单位数量不能满足正常食堂食材配送工作需求的，</w:t>
      </w:r>
      <w:r>
        <w:rPr>
          <w:rFonts w:hint="eastAsia" w:asci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有权按顺序递补本次采购排名在</w:t>
      </w:r>
      <w:r>
        <w:rPr>
          <w:rFonts w:hint="eastAsia" w:asci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14:paraId="49073C73">
      <w:pPr>
        <w:spacing w:line="360" w:lineRule="auto"/>
        <w:ind w:firstLine="420" w:firstLineChars="200"/>
        <w:rPr>
          <w:rFonts w:ascii="宋体" w:hAnsi="宋体" w:cs="仿宋_GB2312"/>
          <w:color w:val="auto"/>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必须清楚理解：</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无法预计也无法保证服务单位所能获得的服务项目数量；对此服务单位不得向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追讨任何费用。</w:t>
      </w:r>
    </w:p>
    <w:p w14:paraId="0D828C6B">
      <w:pPr>
        <w:pStyle w:val="18"/>
        <w:spacing w:before="0" w:beforeAutospacing="0" w:after="0" w:afterAutospacing="0" w:line="360" w:lineRule="auto"/>
        <w:ind w:firstLine="480"/>
        <w:rPr>
          <w:rFonts w:hint="eastAsia" w:ascii="宋体" w:hAnsi="宋体" w:cs="Times New Roman"/>
          <w:b/>
          <w:color w:val="auto"/>
          <w:sz w:val="21"/>
          <w:szCs w:val="21"/>
          <w:highlight w:val="none"/>
          <w:lang w:val="en-US" w:eastAsia="zh-CN"/>
        </w:rPr>
      </w:pPr>
    </w:p>
    <w:p w14:paraId="422CC8DD">
      <w:pPr>
        <w:pStyle w:val="18"/>
        <w:spacing w:before="0" w:beforeAutospacing="0" w:after="0" w:afterAutospacing="0" w:line="360" w:lineRule="auto"/>
        <w:ind w:firstLine="480"/>
        <w:rPr>
          <w:rFonts w:hint="default" w:ascii="宋体" w:hAnsi="宋体" w:eastAsia="宋体" w:cs="Times New Roman"/>
          <w:b/>
          <w:color w:val="auto"/>
          <w:sz w:val="21"/>
          <w:szCs w:val="21"/>
          <w:highlight w:val="none"/>
          <w:lang w:val="en-US" w:eastAsia="zh-CN"/>
        </w:rPr>
      </w:pPr>
      <w:r>
        <w:rPr>
          <w:rFonts w:hint="eastAsia" w:ascii="宋体" w:hAnsi="宋体" w:cs="Times New Roman"/>
          <w:b/>
          <w:color w:val="auto"/>
          <w:sz w:val="21"/>
          <w:szCs w:val="21"/>
          <w:highlight w:val="none"/>
          <w:lang w:val="en-US" w:eastAsia="zh-CN"/>
        </w:rPr>
        <w:t>五</w:t>
      </w:r>
      <w:r>
        <w:rPr>
          <w:rFonts w:ascii="宋体" w:hAnsi="宋体" w:eastAsia="宋体" w:cs="Times New Roman"/>
          <w:b/>
          <w:color w:val="auto"/>
          <w:sz w:val="21"/>
          <w:szCs w:val="21"/>
          <w:highlight w:val="none"/>
        </w:rPr>
        <w:t>、</w:t>
      </w:r>
      <w:r>
        <w:rPr>
          <w:rFonts w:hint="eastAsia" w:ascii="宋体" w:hAnsi="宋体" w:eastAsia="宋体" w:cs="Times New Roman"/>
          <w:b/>
          <w:color w:val="auto"/>
          <w:sz w:val="21"/>
          <w:szCs w:val="21"/>
          <w:highlight w:val="none"/>
        </w:rPr>
        <w:t>质量及包装要求</w:t>
      </w:r>
    </w:p>
    <w:p w14:paraId="6001EB64">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14:paraId="4AD80C17">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保证所提供的水产品和蔬菜种类的多样性和季节性，以保证新鲜感。</w:t>
      </w:r>
    </w:p>
    <w:p w14:paraId="3469A7DB">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3.货物有包装的，货物的包装必须完整清洁（无损、无污、无皱），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有权拒收包装不整齐、已拆封的货品。</w:t>
      </w:r>
    </w:p>
    <w:p w14:paraId="3E92575A">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4.货品质量或包装不符合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必须无条件退货或更换。</w:t>
      </w:r>
    </w:p>
    <w:p w14:paraId="35CE9637">
      <w:pPr>
        <w:pStyle w:val="31"/>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提供假冒伪劣、过期、变质货品的，一经发现，除按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要求无条件退货或换货外，因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供应货品质量问题造成食品安全事故的，经有关部门鉴定后，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须负担全数的医药费及赔偿费等，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将取消该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的供货资格，</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同时承担相应的民事及刑事法律责任</w:t>
      </w:r>
      <w:r>
        <w:rPr>
          <w:rFonts w:hint="eastAsia" w:ascii="宋体" w:hAnsi="宋体" w:eastAsia="宋体" w:cs="宋体"/>
          <w:color w:val="auto"/>
          <w:sz w:val="21"/>
          <w:szCs w:val="21"/>
          <w:highlight w:val="none"/>
          <w:lang w:eastAsia="zh-CN"/>
        </w:rPr>
        <w:t>。</w:t>
      </w:r>
    </w:p>
    <w:p w14:paraId="28C27472">
      <w:pPr>
        <w:rPr>
          <w:rFonts w:hint="eastAsia"/>
          <w:color w:val="auto"/>
          <w:highlight w:val="none"/>
          <w:lang w:eastAsia="zh-CN"/>
        </w:rPr>
      </w:pPr>
    </w:p>
    <w:p w14:paraId="6E78D5BD">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六、</w:t>
      </w:r>
      <w:r>
        <w:rPr>
          <w:rFonts w:hint="eastAsia" w:ascii="宋体" w:hAnsi="宋体" w:eastAsia="宋体" w:cs="Times New Roman"/>
          <w:b/>
          <w:color w:val="auto"/>
          <w:sz w:val="21"/>
          <w:szCs w:val="21"/>
          <w:highlight w:val="none"/>
        </w:rPr>
        <w:t>保密条款</w:t>
      </w:r>
    </w:p>
    <w:p w14:paraId="6E1D89CF">
      <w:pPr>
        <w:pStyle w:val="18"/>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在实施货物供货期间，不得将供货的实际数量及供货地点泄露给其他企业或者个人，乙方必须指派相对固定的人员完成货物配送服务，并需将配送人员的详细资料报甲方备案，货物配送人员必须遵纪守法、品行良好，无违法犯罪记录。如需要更换配送人员，必须事先通知甲方并将其个人资料送甲方审批，审批合格者才能更换。</w:t>
      </w:r>
    </w:p>
    <w:p w14:paraId="57B14F45">
      <w:pPr>
        <w:pStyle w:val="18"/>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p>
    <w:p w14:paraId="5391F608">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七、验收标准</w:t>
      </w:r>
    </w:p>
    <w:p w14:paraId="2D70487C">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所供应的货品必须符合国家和东莞市的相关安全质量标准、卫生标准等，同时符合甲方的使用要求，包括但不限于各分包所列的货品质量要求。乙方在接受订单时须确认甲方对货品的使用要求，对于不符合甲方要求的货品，甲方有权拒收或要求更换。</w:t>
      </w:r>
    </w:p>
    <w:p w14:paraId="56DF9822">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p w14:paraId="0E2EF267">
      <w:pPr>
        <w:pStyle w:val="18"/>
        <w:spacing w:before="0" w:beforeAutospacing="0" w:after="0" w:afterAutospacing="0" w:line="360" w:lineRule="auto"/>
        <w:ind w:firstLine="480"/>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八、售后服务</w:t>
      </w:r>
    </w:p>
    <w:p w14:paraId="3A6C8BF9">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非甲方的人为原因而出现产品质量，由乙方负责包换或包退，并承担因此而产生的一切费用。</w:t>
      </w:r>
    </w:p>
    <w:p w14:paraId="0781F6A7">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p w14:paraId="4F6A7045">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77" w:name="_Toc22377"/>
      <w:r>
        <w:rPr>
          <w:rFonts w:hint="eastAsia" w:ascii="宋体" w:hAnsi="宋体" w:eastAsia="宋体" w:cs="Times New Roman"/>
          <w:b/>
          <w:color w:val="auto"/>
          <w:sz w:val="21"/>
          <w:szCs w:val="21"/>
          <w:highlight w:val="none"/>
          <w:lang w:val="en-US" w:eastAsia="zh-CN"/>
        </w:rPr>
        <w:t>九、保密</w:t>
      </w:r>
      <w:bookmarkEnd w:id="177"/>
    </w:p>
    <w:p w14:paraId="3A06517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（一）乙方对于因签署和履行本合同而获得的有关的信息，应当严格保密。</w:t>
      </w:r>
    </w:p>
    <w:p w14:paraId="03E3CAEA">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（二）仅在下列情况下，乙方才可以披露本合同的相关信息。</w:t>
      </w:r>
    </w:p>
    <w:p w14:paraId="244340CF">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A.按照法律、行政法规的规定；</w:t>
      </w:r>
    </w:p>
    <w:p w14:paraId="1157DB79">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B.任何有管辖权的政府机关、监管机构的要求；</w:t>
      </w:r>
    </w:p>
    <w:p w14:paraId="70CAC698">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C.向该方专业顾问或律师披露；</w:t>
      </w:r>
    </w:p>
    <w:p w14:paraId="52A28184">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D.双方事先予以书面同意。</w:t>
      </w:r>
    </w:p>
    <w:p w14:paraId="10997A72">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 本协议终止后本条款仍然适用，不受时间限制。</w:t>
      </w:r>
    </w:p>
    <w:p w14:paraId="1A93E651">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78" w:name="_Toc879"/>
    </w:p>
    <w:p w14:paraId="3681E2DE">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十、违约责任与赔偿损失</w:t>
      </w:r>
      <w:bookmarkEnd w:id="178"/>
    </w:p>
    <w:p w14:paraId="7C87C2B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1.乙方提供的服务不符合本合同规定的，甲方有权拒收，并且乙方须向甲方方支付本合同总价5%的违约金。</w:t>
      </w:r>
    </w:p>
    <w:p w14:paraId="46D774A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2.乙方未能按本合同规定的交货时间提供服务，从逾期之日起每日按本合同总价3‰的数额向甲方支付违约金；逾期半个月以上的，甲方有权终止合同，由此造成的甲方经济损失由乙方承担。</w:t>
      </w:r>
    </w:p>
    <w:p w14:paraId="5AF8A51A">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3.甲方无正当理由拒收接受服务，到期拒付服务款项的，甲方向乙方偿付本合同总的5%的违约金。甲方人逾期付款，则每日按本合同总价的3‰向乙方偿付违约金。</w:t>
      </w:r>
    </w:p>
    <w:p w14:paraId="34D1C894">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4.其它违约责任按《中华人民共和国民法典(合同编)》处理。</w:t>
      </w:r>
    </w:p>
    <w:p w14:paraId="412034D5">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79" w:name="_Toc12687"/>
    </w:p>
    <w:p w14:paraId="28976314">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十一、争议的解决</w:t>
      </w:r>
      <w:bookmarkEnd w:id="179"/>
    </w:p>
    <w:p w14:paraId="4F12317C">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合同执行过程中发生的任何争议，如双方不能通过友好协商解决，按相关法律法规处理。</w:t>
      </w:r>
    </w:p>
    <w:p w14:paraId="39BFD318">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80" w:name="_Toc21379"/>
    </w:p>
    <w:p w14:paraId="0AC35AEE">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十二、不可抗力</w:t>
      </w:r>
      <w:bookmarkEnd w:id="180"/>
    </w:p>
    <w:p w14:paraId="270CE7F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38D1C5F5">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81" w:name="_Toc24539"/>
    </w:p>
    <w:p w14:paraId="14CDC207">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十三、税费</w:t>
      </w:r>
      <w:bookmarkEnd w:id="181"/>
    </w:p>
    <w:p w14:paraId="1DB46A7E">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在中国境内、外发生的与本合同执行有关的一切税费均由乙方负担。</w:t>
      </w:r>
    </w:p>
    <w:p w14:paraId="7739090F">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82" w:name="_Toc16039"/>
    </w:p>
    <w:p w14:paraId="67790D7F">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十四、其它</w:t>
      </w:r>
      <w:bookmarkEnd w:id="182"/>
    </w:p>
    <w:p w14:paraId="3E6849B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1.本合同所有附件、招标文件、投标文件、中标通知书均为合同的有效组成部分，与本合同具有同等法 律效力。</w:t>
      </w:r>
    </w:p>
    <w:p w14:paraId="74C13136">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2.在执行本合同的过程中，所有经双方签署确认的文件（包括会议纪要、补充协议、往来信函）即成为 本合同的有效组成部分。</w:t>
      </w:r>
    </w:p>
    <w:p w14:paraId="597DECBB">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3.如一方地址、电话、传真号码有变更，应在变更当日内书面通知对方，否则，应承担相应责任。</w:t>
      </w:r>
    </w:p>
    <w:p w14:paraId="481B7E21">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4.除甲方事先书面同意外，乙方不得部分或全部转让其应履行的合同项下的义务。</w:t>
      </w:r>
    </w:p>
    <w:p w14:paraId="7C5E3391">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bookmarkStart w:id="183" w:name="_Toc18294"/>
    </w:p>
    <w:p w14:paraId="65AF8F7C">
      <w:pPr>
        <w:pStyle w:val="18"/>
        <w:spacing w:before="0" w:beforeAutospacing="0" w:after="0" w:afterAutospacing="0" w:line="360" w:lineRule="auto"/>
        <w:ind w:firstLine="480"/>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十五、合同生效</w:t>
      </w:r>
      <w:bookmarkEnd w:id="183"/>
    </w:p>
    <w:p w14:paraId="7E2F30D8">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1.本合同在甲乙双方法人代表或其授权代表签字盖章后生效。</w:t>
      </w:r>
    </w:p>
    <w:p w14:paraId="1A1134E4">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eastAsia="zh-CN"/>
        </w:rPr>
        <w:t>2.合同一式 份。</w:t>
      </w:r>
    </w:p>
    <w:p w14:paraId="1376337F">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p w14:paraId="7A2C2BB3">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p w14:paraId="1A620FCE">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p w14:paraId="5C3F2AB0">
      <w:pPr>
        <w:spacing w:after="50" w:line="360" w:lineRule="auto"/>
        <w:rPr>
          <w:rFonts w:ascii="宋体" w:hAnsi="宋体"/>
          <w:color w:val="auto"/>
          <w:szCs w:val="21"/>
          <w:highlight w:val="none"/>
        </w:rPr>
      </w:pPr>
      <w:r>
        <w:rPr>
          <w:rFonts w:ascii="宋体" w:hAnsi="宋体"/>
          <w:color w:val="auto"/>
          <w:szCs w:val="21"/>
          <w:highlight w:val="none"/>
        </w:rPr>
        <w:t>附件1. 《</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w:t>
      </w:r>
      <w:r>
        <w:rPr>
          <w:rFonts w:ascii="宋体" w:hAnsi="宋体"/>
          <w:color w:val="auto"/>
          <w:szCs w:val="21"/>
          <w:highlight w:val="none"/>
        </w:rPr>
        <w:t xml:space="preserve">》 </w:t>
      </w:r>
    </w:p>
    <w:p w14:paraId="239922A8">
      <w:pPr>
        <w:spacing w:after="50" w:line="360" w:lineRule="auto"/>
        <w:rPr>
          <w:rFonts w:ascii="宋体" w:hAnsi="宋体"/>
          <w:color w:val="auto"/>
          <w:szCs w:val="21"/>
          <w:highlight w:val="none"/>
        </w:rPr>
      </w:pPr>
      <w:r>
        <w:rPr>
          <w:rFonts w:ascii="宋体" w:hAnsi="宋体"/>
          <w:color w:val="auto"/>
          <w:szCs w:val="21"/>
          <w:highlight w:val="none"/>
        </w:rPr>
        <w:t>附件2. 《</w:t>
      </w:r>
      <w:r>
        <w:rPr>
          <w:rFonts w:hint="eastAsia" w:ascii="宋体" w:hAnsi="宋体"/>
          <w:color w:val="auto"/>
          <w:szCs w:val="21"/>
          <w:highlight w:val="none"/>
          <w:lang w:val="en-US" w:eastAsia="zh-CN"/>
        </w:rPr>
        <w:t>招标</w:t>
      </w:r>
      <w:r>
        <w:rPr>
          <w:rFonts w:hint="eastAsia" w:ascii="宋体" w:hAnsi="宋体"/>
          <w:color w:val="auto"/>
          <w:szCs w:val="21"/>
          <w:highlight w:val="none"/>
        </w:rPr>
        <w:t>文件</w:t>
      </w:r>
      <w:r>
        <w:rPr>
          <w:rFonts w:ascii="宋体" w:hAnsi="宋体"/>
          <w:color w:val="auto"/>
          <w:szCs w:val="21"/>
          <w:highlight w:val="none"/>
        </w:rPr>
        <w:t xml:space="preserve">》 </w:t>
      </w:r>
    </w:p>
    <w:p w14:paraId="7B9383B7">
      <w:pPr>
        <w:spacing w:after="50" w:line="360" w:lineRule="auto"/>
        <w:rPr>
          <w:rFonts w:ascii="宋体" w:hAnsi="宋体"/>
          <w:color w:val="auto"/>
          <w:szCs w:val="21"/>
          <w:highlight w:val="none"/>
        </w:rPr>
      </w:pPr>
      <w:r>
        <w:rPr>
          <w:rFonts w:ascii="宋体" w:hAnsi="宋体"/>
          <w:color w:val="auto"/>
          <w:szCs w:val="21"/>
          <w:highlight w:val="none"/>
        </w:rPr>
        <w:t>附件3. 《</w:t>
      </w:r>
      <w:r>
        <w:rPr>
          <w:rFonts w:hint="eastAsia" w:ascii="宋体" w:hAnsi="宋体"/>
          <w:color w:val="auto"/>
          <w:szCs w:val="21"/>
          <w:highlight w:val="none"/>
          <w:lang w:val="en-US" w:eastAsia="zh-CN"/>
        </w:rPr>
        <w:t>投标</w:t>
      </w:r>
      <w:r>
        <w:rPr>
          <w:rFonts w:hint="eastAsia" w:ascii="宋体" w:hAnsi="宋体"/>
          <w:color w:val="auto"/>
          <w:szCs w:val="21"/>
          <w:highlight w:val="none"/>
        </w:rPr>
        <w:t>文件</w:t>
      </w:r>
      <w:r>
        <w:rPr>
          <w:rFonts w:ascii="宋体" w:hAnsi="宋体"/>
          <w:color w:val="auto"/>
          <w:szCs w:val="21"/>
          <w:highlight w:val="none"/>
        </w:rPr>
        <w:t>》副本</w:t>
      </w:r>
    </w:p>
    <w:p w14:paraId="16860770">
      <w:pPr>
        <w:spacing w:after="50" w:line="360" w:lineRule="auto"/>
        <w:ind w:left="974" w:hanging="974" w:hangingChars="464"/>
        <w:rPr>
          <w:rFonts w:ascii="宋体" w:hAnsi="宋体"/>
          <w:color w:val="auto"/>
          <w:szCs w:val="21"/>
          <w:highlight w:val="none"/>
        </w:rPr>
      </w:pPr>
      <w:r>
        <w:rPr>
          <w:rFonts w:ascii="宋体" w:hAnsi="宋体"/>
          <w:color w:val="auto"/>
          <w:szCs w:val="21"/>
          <w:highlight w:val="none"/>
        </w:rPr>
        <w:t>备注： 1.本合同所有附件均在签订合同时编制，其编制依据是</w:t>
      </w:r>
      <w:r>
        <w:rPr>
          <w:rFonts w:hint="eastAsia" w:ascii="宋体" w:hAnsi="宋体"/>
          <w:color w:val="auto"/>
          <w:szCs w:val="21"/>
          <w:highlight w:val="none"/>
          <w:lang w:eastAsia="zh-CN"/>
        </w:rPr>
        <w:t>招标文件</w:t>
      </w:r>
      <w:r>
        <w:rPr>
          <w:rFonts w:ascii="宋体" w:hAnsi="宋体"/>
          <w:color w:val="auto"/>
          <w:szCs w:val="21"/>
          <w:highlight w:val="none"/>
        </w:rPr>
        <w:t>“用户需求书”中的要求和乙方的</w:t>
      </w:r>
      <w:r>
        <w:rPr>
          <w:rFonts w:hint="eastAsia" w:ascii="宋体" w:hAnsi="宋体"/>
          <w:color w:val="auto"/>
          <w:szCs w:val="21"/>
          <w:highlight w:val="none"/>
          <w:lang w:eastAsia="zh-CN"/>
        </w:rPr>
        <w:t>投标文件</w:t>
      </w:r>
      <w:r>
        <w:rPr>
          <w:rFonts w:ascii="宋体" w:hAnsi="宋体"/>
          <w:color w:val="auto"/>
          <w:szCs w:val="21"/>
          <w:highlight w:val="none"/>
        </w:rPr>
        <w:t>中的相应内容；</w:t>
      </w:r>
    </w:p>
    <w:p w14:paraId="1BFC74E7">
      <w:pPr>
        <w:spacing w:after="50" w:line="360" w:lineRule="auto"/>
        <w:ind w:left="974" w:hanging="974" w:hangingChars="464"/>
        <w:rPr>
          <w:rFonts w:ascii="宋体" w:hAnsi="宋体"/>
          <w:b/>
          <w:color w:val="auto"/>
          <w:szCs w:val="21"/>
          <w:highlight w:val="none"/>
        </w:rPr>
      </w:pPr>
      <w:r>
        <w:rPr>
          <w:rFonts w:ascii="宋体" w:hAnsi="宋体"/>
          <w:color w:val="auto"/>
          <w:szCs w:val="21"/>
          <w:highlight w:val="none"/>
        </w:rPr>
        <w:t xml:space="preserve">       2.合同附件的具体内容由双方在签订合同时确定。</w:t>
      </w:r>
    </w:p>
    <w:p w14:paraId="18BDBCF2">
      <w:pPr>
        <w:pStyle w:val="18"/>
        <w:spacing w:before="0" w:beforeAutospacing="0" w:after="0" w:afterAutospacing="0" w:line="360" w:lineRule="auto"/>
        <w:ind w:firstLine="420" w:firstLineChars="200"/>
        <w:rPr>
          <w:rFonts w:ascii="宋体" w:hAnsi="宋体" w:eastAsia="宋体" w:cs="Times New Roman"/>
          <w:color w:val="auto"/>
          <w:sz w:val="21"/>
          <w:szCs w:val="21"/>
          <w:highlight w:val="none"/>
        </w:rPr>
      </w:pPr>
    </w:p>
    <w:tbl>
      <w:tblPr>
        <w:tblStyle w:val="20"/>
        <w:tblW w:w="0" w:type="auto"/>
        <w:tblInd w:w="0" w:type="dxa"/>
        <w:tblLayout w:type="fixed"/>
        <w:tblCellMar>
          <w:top w:w="0" w:type="dxa"/>
          <w:left w:w="108" w:type="dxa"/>
          <w:bottom w:w="0" w:type="dxa"/>
          <w:right w:w="108" w:type="dxa"/>
        </w:tblCellMar>
      </w:tblPr>
      <w:tblGrid>
        <w:gridCol w:w="4666"/>
        <w:gridCol w:w="4552"/>
      </w:tblGrid>
      <w:tr w14:paraId="3534703F">
        <w:tblPrEx>
          <w:tblCellMar>
            <w:top w:w="0" w:type="dxa"/>
            <w:left w:w="108" w:type="dxa"/>
            <w:bottom w:w="0" w:type="dxa"/>
            <w:right w:w="108" w:type="dxa"/>
          </w:tblCellMar>
        </w:tblPrEx>
        <w:trPr>
          <w:trHeight w:val="658" w:hRule="atLeast"/>
        </w:trPr>
        <w:tc>
          <w:tcPr>
            <w:tcW w:w="4666" w:type="dxa"/>
            <w:noWrap w:val="0"/>
            <w:vAlign w:val="top"/>
          </w:tcPr>
          <w:p w14:paraId="0932B917">
            <w:pPr>
              <w:spacing w:line="480" w:lineRule="exact"/>
              <w:rPr>
                <w:rFonts w:ascii="宋体" w:hAnsi="宋体"/>
                <w:color w:val="auto"/>
                <w:szCs w:val="21"/>
                <w:highlight w:val="none"/>
              </w:rPr>
            </w:pPr>
            <w:r>
              <w:rPr>
                <w:rFonts w:ascii="宋体" w:hAnsi="宋体"/>
                <w:color w:val="auto"/>
                <w:szCs w:val="21"/>
                <w:highlight w:val="none"/>
              </w:rPr>
              <w:t>甲方（盖公章）：</w:t>
            </w:r>
          </w:p>
        </w:tc>
        <w:tc>
          <w:tcPr>
            <w:tcW w:w="4552" w:type="dxa"/>
            <w:noWrap w:val="0"/>
            <w:vAlign w:val="top"/>
          </w:tcPr>
          <w:p w14:paraId="77811C79">
            <w:pPr>
              <w:spacing w:line="480" w:lineRule="exact"/>
              <w:rPr>
                <w:rFonts w:ascii="宋体" w:hAnsi="宋体"/>
                <w:color w:val="auto"/>
                <w:szCs w:val="21"/>
                <w:highlight w:val="none"/>
              </w:rPr>
            </w:pPr>
            <w:r>
              <w:rPr>
                <w:rFonts w:ascii="宋体" w:hAnsi="宋体"/>
                <w:color w:val="auto"/>
                <w:szCs w:val="21"/>
                <w:highlight w:val="none"/>
              </w:rPr>
              <w:t>乙方（盖公章）：</w:t>
            </w:r>
          </w:p>
        </w:tc>
      </w:tr>
      <w:tr w14:paraId="6BB597DD">
        <w:tblPrEx>
          <w:tblCellMar>
            <w:top w:w="0" w:type="dxa"/>
            <w:left w:w="108" w:type="dxa"/>
            <w:bottom w:w="0" w:type="dxa"/>
            <w:right w:w="108" w:type="dxa"/>
          </w:tblCellMar>
        </w:tblPrEx>
        <w:trPr>
          <w:trHeight w:val="658" w:hRule="atLeast"/>
        </w:trPr>
        <w:tc>
          <w:tcPr>
            <w:tcW w:w="4666" w:type="dxa"/>
            <w:noWrap w:val="0"/>
            <w:vAlign w:val="top"/>
          </w:tcPr>
          <w:p w14:paraId="42817DAF">
            <w:pPr>
              <w:spacing w:line="480" w:lineRule="exact"/>
              <w:rPr>
                <w:rFonts w:ascii="宋体" w:hAnsi="宋体"/>
                <w:color w:val="auto"/>
                <w:szCs w:val="21"/>
                <w:highlight w:val="none"/>
              </w:rPr>
            </w:pPr>
            <w:r>
              <w:rPr>
                <w:rFonts w:ascii="宋体" w:hAnsi="宋体"/>
                <w:color w:val="auto"/>
                <w:szCs w:val="21"/>
                <w:highlight w:val="none"/>
              </w:rPr>
              <w:t>法定代表人签字：</w:t>
            </w:r>
          </w:p>
          <w:p w14:paraId="328A4491">
            <w:pPr>
              <w:spacing w:line="480" w:lineRule="exact"/>
              <w:rPr>
                <w:rFonts w:ascii="宋体" w:hAnsi="宋体"/>
                <w:color w:val="auto"/>
                <w:szCs w:val="21"/>
                <w:highlight w:val="none"/>
              </w:rPr>
            </w:pPr>
            <w:r>
              <w:rPr>
                <w:rFonts w:ascii="宋体" w:hAnsi="宋体"/>
                <w:color w:val="auto"/>
                <w:szCs w:val="21"/>
                <w:highlight w:val="none"/>
              </w:rPr>
              <w:t>或</w:t>
            </w:r>
          </w:p>
          <w:p w14:paraId="24F8506D">
            <w:pPr>
              <w:spacing w:line="480" w:lineRule="exact"/>
              <w:rPr>
                <w:rFonts w:ascii="宋体" w:hAnsi="宋体"/>
                <w:color w:val="auto"/>
                <w:szCs w:val="21"/>
                <w:highlight w:val="none"/>
              </w:rPr>
            </w:pPr>
            <w:r>
              <w:rPr>
                <w:rFonts w:ascii="宋体" w:hAnsi="宋体"/>
                <w:color w:val="auto"/>
                <w:szCs w:val="21"/>
                <w:highlight w:val="none"/>
              </w:rPr>
              <w:t>授权代理人签字：</w:t>
            </w:r>
          </w:p>
        </w:tc>
        <w:tc>
          <w:tcPr>
            <w:tcW w:w="4552" w:type="dxa"/>
            <w:noWrap w:val="0"/>
            <w:vAlign w:val="top"/>
          </w:tcPr>
          <w:p w14:paraId="02B14A02">
            <w:pPr>
              <w:spacing w:line="480" w:lineRule="exact"/>
              <w:rPr>
                <w:rFonts w:ascii="宋体" w:hAnsi="宋体"/>
                <w:color w:val="auto"/>
                <w:szCs w:val="21"/>
                <w:highlight w:val="none"/>
              </w:rPr>
            </w:pPr>
            <w:r>
              <w:rPr>
                <w:rFonts w:ascii="宋体" w:hAnsi="宋体"/>
                <w:color w:val="auto"/>
                <w:szCs w:val="21"/>
                <w:highlight w:val="none"/>
              </w:rPr>
              <w:t>法定代表人签字：</w:t>
            </w:r>
          </w:p>
          <w:p w14:paraId="3E19608D">
            <w:pPr>
              <w:spacing w:line="480" w:lineRule="exact"/>
              <w:rPr>
                <w:rFonts w:ascii="宋体" w:hAnsi="宋体"/>
                <w:color w:val="auto"/>
                <w:szCs w:val="21"/>
                <w:highlight w:val="none"/>
              </w:rPr>
            </w:pPr>
            <w:r>
              <w:rPr>
                <w:rFonts w:ascii="宋体" w:hAnsi="宋体"/>
                <w:color w:val="auto"/>
                <w:szCs w:val="21"/>
                <w:highlight w:val="none"/>
              </w:rPr>
              <w:t>或</w:t>
            </w:r>
          </w:p>
          <w:p w14:paraId="096C2DCD">
            <w:pPr>
              <w:spacing w:line="480" w:lineRule="exact"/>
              <w:rPr>
                <w:rFonts w:ascii="宋体" w:hAnsi="宋体"/>
                <w:color w:val="auto"/>
                <w:szCs w:val="21"/>
                <w:highlight w:val="none"/>
              </w:rPr>
            </w:pPr>
            <w:r>
              <w:rPr>
                <w:rFonts w:ascii="宋体" w:hAnsi="宋体"/>
                <w:color w:val="auto"/>
                <w:szCs w:val="21"/>
                <w:highlight w:val="none"/>
              </w:rPr>
              <w:t>授权代理人签字：</w:t>
            </w:r>
          </w:p>
        </w:tc>
      </w:tr>
      <w:tr w14:paraId="0530C19D">
        <w:tblPrEx>
          <w:tblCellMar>
            <w:top w:w="0" w:type="dxa"/>
            <w:left w:w="108" w:type="dxa"/>
            <w:bottom w:w="0" w:type="dxa"/>
            <w:right w:w="108" w:type="dxa"/>
          </w:tblCellMar>
        </w:tblPrEx>
        <w:trPr>
          <w:trHeight w:val="804" w:hRule="atLeast"/>
        </w:trPr>
        <w:tc>
          <w:tcPr>
            <w:tcW w:w="4666" w:type="dxa"/>
            <w:noWrap w:val="0"/>
            <w:vAlign w:val="top"/>
          </w:tcPr>
          <w:p w14:paraId="459672B8">
            <w:pPr>
              <w:spacing w:line="480" w:lineRule="exact"/>
              <w:rPr>
                <w:rFonts w:ascii="宋体" w:hAnsi="宋体"/>
                <w:color w:val="auto"/>
                <w:szCs w:val="21"/>
                <w:highlight w:val="none"/>
              </w:rPr>
            </w:pPr>
            <w:r>
              <w:rPr>
                <w:rFonts w:ascii="宋体" w:hAnsi="宋体"/>
                <w:bCs/>
                <w:color w:val="auto"/>
                <w:szCs w:val="21"/>
                <w:highlight w:val="none"/>
              </w:rPr>
              <w:t>账户名称：</w:t>
            </w:r>
          </w:p>
        </w:tc>
        <w:tc>
          <w:tcPr>
            <w:tcW w:w="4552" w:type="dxa"/>
            <w:noWrap w:val="0"/>
            <w:vAlign w:val="top"/>
          </w:tcPr>
          <w:p w14:paraId="0DC4DB7D">
            <w:pPr>
              <w:spacing w:line="480" w:lineRule="exact"/>
              <w:rPr>
                <w:rFonts w:ascii="宋体" w:hAnsi="宋体"/>
                <w:color w:val="auto"/>
                <w:szCs w:val="21"/>
                <w:highlight w:val="none"/>
              </w:rPr>
            </w:pPr>
            <w:r>
              <w:rPr>
                <w:rFonts w:ascii="宋体" w:hAnsi="宋体"/>
                <w:bCs/>
                <w:color w:val="auto"/>
                <w:szCs w:val="21"/>
                <w:highlight w:val="none"/>
              </w:rPr>
              <w:t>账户名称：</w:t>
            </w:r>
            <w:r>
              <w:rPr>
                <w:rFonts w:ascii="宋体" w:hAnsi="宋体"/>
                <w:color w:val="auto"/>
                <w:szCs w:val="21"/>
                <w:highlight w:val="none"/>
              </w:rPr>
              <w:t xml:space="preserve"> </w:t>
            </w:r>
          </w:p>
        </w:tc>
      </w:tr>
      <w:tr w14:paraId="11A71754">
        <w:tblPrEx>
          <w:tblCellMar>
            <w:top w:w="0" w:type="dxa"/>
            <w:left w:w="108" w:type="dxa"/>
            <w:bottom w:w="0" w:type="dxa"/>
            <w:right w:w="108" w:type="dxa"/>
          </w:tblCellMar>
        </w:tblPrEx>
        <w:trPr>
          <w:trHeight w:val="271" w:hRule="atLeast"/>
        </w:trPr>
        <w:tc>
          <w:tcPr>
            <w:tcW w:w="4666" w:type="dxa"/>
            <w:noWrap w:val="0"/>
            <w:vAlign w:val="top"/>
          </w:tcPr>
          <w:p w14:paraId="0F960149">
            <w:pPr>
              <w:spacing w:line="480" w:lineRule="exact"/>
              <w:rPr>
                <w:rFonts w:ascii="宋体" w:hAnsi="宋体"/>
                <w:color w:val="auto"/>
                <w:szCs w:val="21"/>
                <w:highlight w:val="none"/>
              </w:rPr>
            </w:pPr>
            <w:r>
              <w:rPr>
                <w:rFonts w:ascii="宋体" w:hAnsi="宋体"/>
                <w:bCs/>
                <w:color w:val="auto"/>
                <w:szCs w:val="21"/>
                <w:highlight w:val="none"/>
              </w:rPr>
              <w:t>开户银行：</w:t>
            </w:r>
          </w:p>
        </w:tc>
        <w:tc>
          <w:tcPr>
            <w:tcW w:w="4552" w:type="dxa"/>
            <w:noWrap w:val="0"/>
            <w:vAlign w:val="top"/>
          </w:tcPr>
          <w:p w14:paraId="7A5E0AD1">
            <w:pPr>
              <w:spacing w:line="480" w:lineRule="exact"/>
              <w:rPr>
                <w:rFonts w:ascii="宋体" w:hAnsi="宋体"/>
                <w:color w:val="auto"/>
                <w:szCs w:val="21"/>
                <w:highlight w:val="none"/>
              </w:rPr>
            </w:pPr>
            <w:r>
              <w:rPr>
                <w:rFonts w:ascii="宋体" w:hAnsi="宋体"/>
                <w:bCs/>
                <w:color w:val="auto"/>
                <w:szCs w:val="21"/>
                <w:highlight w:val="none"/>
              </w:rPr>
              <w:t>开户银行：</w:t>
            </w:r>
            <w:r>
              <w:rPr>
                <w:rFonts w:ascii="宋体" w:hAnsi="宋体"/>
                <w:color w:val="auto"/>
                <w:szCs w:val="21"/>
                <w:highlight w:val="none"/>
              </w:rPr>
              <w:t xml:space="preserve"> </w:t>
            </w:r>
          </w:p>
        </w:tc>
      </w:tr>
      <w:tr w14:paraId="195C98E9">
        <w:tblPrEx>
          <w:tblCellMar>
            <w:top w:w="0" w:type="dxa"/>
            <w:left w:w="108" w:type="dxa"/>
            <w:bottom w:w="0" w:type="dxa"/>
            <w:right w:w="108" w:type="dxa"/>
          </w:tblCellMar>
        </w:tblPrEx>
        <w:trPr>
          <w:trHeight w:val="271" w:hRule="atLeast"/>
        </w:trPr>
        <w:tc>
          <w:tcPr>
            <w:tcW w:w="4666" w:type="dxa"/>
            <w:noWrap w:val="0"/>
            <w:vAlign w:val="top"/>
          </w:tcPr>
          <w:p w14:paraId="76E01508">
            <w:pPr>
              <w:spacing w:line="480" w:lineRule="exact"/>
              <w:rPr>
                <w:rFonts w:ascii="宋体" w:hAnsi="宋体"/>
                <w:color w:val="auto"/>
                <w:szCs w:val="21"/>
                <w:highlight w:val="none"/>
              </w:rPr>
            </w:pPr>
            <w:r>
              <w:rPr>
                <w:rFonts w:ascii="宋体" w:hAnsi="宋体"/>
                <w:bCs/>
                <w:color w:val="auto"/>
                <w:szCs w:val="21"/>
                <w:highlight w:val="none"/>
              </w:rPr>
              <w:t>银行账号：</w:t>
            </w:r>
          </w:p>
        </w:tc>
        <w:tc>
          <w:tcPr>
            <w:tcW w:w="4552" w:type="dxa"/>
            <w:noWrap w:val="0"/>
            <w:vAlign w:val="top"/>
          </w:tcPr>
          <w:p w14:paraId="5A99785E">
            <w:pPr>
              <w:spacing w:line="480" w:lineRule="exact"/>
              <w:rPr>
                <w:rFonts w:ascii="宋体" w:hAnsi="宋体"/>
                <w:color w:val="auto"/>
                <w:szCs w:val="21"/>
                <w:highlight w:val="none"/>
              </w:rPr>
            </w:pPr>
            <w:r>
              <w:rPr>
                <w:rFonts w:ascii="宋体" w:hAnsi="宋体"/>
                <w:bCs/>
                <w:color w:val="auto"/>
                <w:szCs w:val="21"/>
                <w:highlight w:val="none"/>
              </w:rPr>
              <w:t>银行账号：</w:t>
            </w:r>
            <w:r>
              <w:rPr>
                <w:rFonts w:ascii="宋体" w:hAnsi="宋体"/>
                <w:color w:val="auto"/>
                <w:szCs w:val="21"/>
                <w:highlight w:val="none"/>
                <w:lang w:val="zh-CN"/>
              </w:rPr>
              <w:t xml:space="preserve"> </w:t>
            </w:r>
          </w:p>
        </w:tc>
      </w:tr>
      <w:tr w14:paraId="13E5FA75">
        <w:tblPrEx>
          <w:tblCellMar>
            <w:top w:w="0" w:type="dxa"/>
            <w:left w:w="108" w:type="dxa"/>
            <w:bottom w:w="0" w:type="dxa"/>
            <w:right w:w="108" w:type="dxa"/>
          </w:tblCellMar>
        </w:tblPrEx>
        <w:trPr>
          <w:trHeight w:val="271" w:hRule="atLeast"/>
        </w:trPr>
        <w:tc>
          <w:tcPr>
            <w:tcW w:w="4666" w:type="dxa"/>
            <w:noWrap w:val="0"/>
            <w:vAlign w:val="top"/>
          </w:tcPr>
          <w:p w14:paraId="4C5F2529">
            <w:pPr>
              <w:spacing w:line="480" w:lineRule="exact"/>
              <w:rPr>
                <w:rFonts w:ascii="宋体" w:hAnsi="宋体"/>
                <w:color w:val="auto"/>
                <w:szCs w:val="21"/>
                <w:highlight w:val="none"/>
              </w:rPr>
            </w:pPr>
            <w:r>
              <w:rPr>
                <w:rFonts w:ascii="宋体" w:hAnsi="宋体"/>
                <w:color w:val="auto"/>
                <w:szCs w:val="21"/>
                <w:highlight w:val="none"/>
              </w:rPr>
              <w:t>地址：</w:t>
            </w:r>
          </w:p>
        </w:tc>
        <w:tc>
          <w:tcPr>
            <w:tcW w:w="4552" w:type="dxa"/>
            <w:noWrap w:val="0"/>
            <w:vAlign w:val="top"/>
          </w:tcPr>
          <w:p w14:paraId="6780CEAE">
            <w:pPr>
              <w:spacing w:line="480" w:lineRule="exact"/>
              <w:rPr>
                <w:rFonts w:ascii="宋体" w:hAnsi="宋体"/>
                <w:bCs/>
                <w:color w:val="auto"/>
                <w:szCs w:val="21"/>
                <w:highlight w:val="none"/>
              </w:rPr>
            </w:pPr>
            <w:r>
              <w:rPr>
                <w:rFonts w:ascii="宋体" w:hAnsi="宋体"/>
                <w:color w:val="auto"/>
                <w:szCs w:val="21"/>
                <w:highlight w:val="none"/>
              </w:rPr>
              <w:t xml:space="preserve">地址： </w:t>
            </w:r>
          </w:p>
        </w:tc>
      </w:tr>
      <w:tr w14:paraId="483F59CD">
        <w:tblPrEx>
          <w:tblCellMar>
            <w:top w:w="0" w:type="dxa"/>
            <w:left w:w="108" w:type="dxa"/>
            <w:bottom w:w="0" w:type="dxa"/>
            <w:right w:w="108" w:type="dxa"/>
          </w:tblCellMar>
        </w:tblPrEx>
        <w:trPr>
          <w:trHeight w:val="271" w:hRule="atLeast"/>
        </w:trPr>
        <w:tc>
          <w:tcPr>
            <w:tcW w:w="4666" w:type="dxa"/>
            <w:noWrap w:val="0"/>
            <w:vAlign w:val="top"/>
          </w:tcPr>
          <w:p w14:paraId="51EE879A">
            <w:pPr>
              <w:spacing w:line="480" w:lineRule="exact"/>
              <w:rPr>
                <w:rFonts w:ascii="宋体" w:hAnsi="宋体"/>
                <w:color w:val="auto"/>
                <w:szCs w:val="21"/>
                <w:highlight w:val="none"/>
              </w:rPr>
            </w:pPr>
            <w:r>
              <w:rPr>
                <w:rFonts w:ascii="宋体" w:hAnsi="宋体"/>
                <w:color w:val="auto"/>
                <w:szCs w:val="21"/>
                <w:highlight w:val="none"/>
              </w:rPr>
              <w:t>联系电话：</w:t>
            </w:r>
          </w:p>
        </w:tc>
        <w:tc>
          <w:tcPr>
            <w:tcW w:w="4552" w:type="dxa"/>
            <w:noWrap w:val="0"/>
            <w:vAlign w:val="top"/>
          </w:tcPr>
          <w:p w14:paraId="7EACA9B5">
            <w:pPr>
              <w:spacing w:line="480" w:lineRule="exact"/>
              <w:rPr>
                <w:rFonts w:ascii="宋体" w:hAnsi="宋体"/>
                <w:bCs/>
                <w:color w:val="auto"/>
                <w:szCs w:val="21"/>
                <w:highlight w:val="none"/>
              </w:rPr>
            </w:pPr>
            <w:r>
              <w:rPr>
                <w:rFonts w:ascii="宋体" w:hAnsi="宋体"/>
                <w:color w:val="auto"/>
                <w:szCs w:val="21"/>
                <w:highlight w:val="none"/>
              </w:rPr>
              <w:t xml:space="preserve">联系电话： </w:t>
            </w:r>
          </w:p>
        </w:tc>
      </w:tr>
      <w:tr w14:paraId="1F4D4F06">
        <w:tblPrEx>
          <w:tblCellMar>
            <w:top w:w="0" w:type="dxa"/>
            <w:left w:w="108" w:type="dxa"/>
            <w:bottom w:w="0" w:type="dxa"/>
            <w:right w:w="108" w:type="dxa"/>
          </w:tblCellMar>
        </w:tblPrEx>
        <w:trPr>
          <w:trHeight w:val="271" w:hRule="atLeast"/>
        </w:trPr>
        <w:tc>
          <w:tcPr>
            <w:tcW w:w="4666" w:type="dxa"/>
            <w:noWrap w:val="0"/>
            <w:vAlign w:val="top"/>
          </w:tcPr>
          <w:p w14:paraId="5D53372B">
            <w:pPr>
              <w:spacing w:line="480" w:lineRule="exact"/>
              <w:rPr>
                <w:rFonts w:ascii="宋体" w:hAnsi="宋体"/>
                <w:color w:val="auto"/>
                <w:szCs w:val="21"/>
                <w:highlight w:val="none"/>
              </w:rPr>
            </w:pPr>
            <w:r>
              <w:rPr>
                <w:rFonts w:ascii="宋体" w:hAnsi="宋体"/>
                <w:bCs/>
                <w:color w:val="auto"/>
                <w:szCs w:val="21"/>
                <w:highlight w:val="none"/>
              </w:rPr>
              <w:t>签订日期：    年  月  日</w:t>
            </w:r>
          </w:p>
        </w:tc>
        <w:tc>
          <w:tcPr>
            <w:tcW w:w="4552" w:type="dxa"/>
            <w:noWrap w:val="0"/>
            <w:vAlign w:val="top"/>
          </w:tcPr>
          <w:p w14:paraId="36571902">
            <w:pPr>
              <w:spacing w:line="480" w:lineRule="exact"/>
              <w:rPr>
                <w:rFonts w:ascii="宋体" w:hAnsi="宋体"/>
                <w:bCs/>
                <w:color w:val="auto"/>
                <w:szCs w:val="21"/>
                <w:highlight w:val="none"/>
              </w:rPr>
            </w:pPr>
            <w:r>
              <w:rPr>
                <w:rFonts w:ascii="宋体" w:hAnsi="宋体"/>
                <w:bCs/>
                <w:color w:val="auto"/>
                <w:szCs w:val="21"/>
                <w:highlight w:val="none"/>
              </w:rPr>
              <w:t>签订日期：    年  月  日</w:t>
            </w:r>
          </w:p>
        </w:tc>
      </w:tr>
      <w:tr w14:paraId="41748634">
        <w:tblPrEx>
          <w:tblCellMar>
            <w:top w:w="0" w:type="dxa"/>
            <w:left w:w="108" w:type="dxa"/>
            <w:bottom w:w="0" w:type="dxa"/>
            <w:right w:w="108" w:type="dxa"/>
          </w:tblCellMar>
        </w:tblPrEx>
        <w:trPr>
          <w:trHeight w:val="271" w:hRule="atLeast"/>
        </w:trPr>
        <w:tc>
          <w:tcPr>
            <w:tcW w:w="9218" w:type="dxa"/>
            <w:gridSpan w:val="2"/>
            <w:noWrap w:val="0"/>
            <w:vAlign w:val="top"/>
          </w:tcPr>
          <w:p w14:paraId="615AAEA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宋体" w:hAnsi="宋体"/>
                <w:bCs/>
                <w:color w:val="auto"/>
                <w:szCs w:val="21"/>
                <w:highlight w:val="none"/>
              </w:rPr>
            </w:pPr>
            <w:r>
              <w:rPr>
                <w:rFonts w:ascii="宋体" w:hAnsi="宋体"/>
                <w:color w:val="auto"/>
                <w:szCs w:val="21"/>
                <w:highlight w:val="none"/>
              </w:rPr>
              <w:t>签订地点：</w:t>
            </w:r>
          </w:p>
        </w:tc>
      </w:tr>
    </w:tbl>
    <w:p w14:paraId="03A3FA97">
      <w:pPr>
        <w:spacing w:line="360" w:lineRule="auto"/>
        <w:rPr>
          <w:rFonts w:ascii="宋体" w:hAnsi="宋体"/>
          <w:color w:val="auto"/>
          <w:szCs w:val="21"/>
          <w:highlight w:val="none"/>
        </w:rPr>
      </w:pPr>
    </w:p>
    <w:p w14:paraId="30225D4D">
      <w:pPr>
        <w:rPr>
          <w:rFonts w:hint="eastAsia" w:ascii="宋体" w:hAnsi="宋体"/>
          <w:b/>
          <w:color w:val="auto"/>
          <w:szCs w:val="21"/>
          <w:highlight w:val="none"/>
        </w:rPr>
      </w:pPr>
    </w:p>
    <w:p w14:paraId="453AFE1C">
      <w:pPr>
        <w:rPr>
          <w:rFonts w:hint="eastAsia" w:ascii="宋体" w:hAnsi="宋体"/>
          <w:b/>
          <w:color w:val="auto"/>
          <w:szCs w:val="21"/>
          <w:highlight w:val="none"/>
        </w:rPr>
      </w:pPr>
    </w:p>
    <w:p w14:paraId="366BDED6">
      <w:pPr>
        <w:rPr>
          <w:rFonts w:hint="eastAsia" w:ascii="宋体" w:hAnsi="宋体"/>
          <w:b/>
          <w:color w:val="auto"/>
          <w:szCs w:val="21"/>
          <w:highlight w:val="none"/>
        </w:rPr>
      </w:pPr>
      <w:r>
        <w:rPr>
          <w:rFonts w:hint="eastAsia" w:ascii="宋体" w:hAnsi="宋体"/>
          <w:b/>
          <w:color w:val="auto"/>
          <w:szCs w:val="21"/>
          <w:highlight w:val="none"/>
        </w:rPr>
        <w:t>此仅为合同书样本，中标人需根据实际情况和甲方签订相应的合同！</w:t>
      </w:r>
    </w:p>
    <w:p w14:paraId="5066D90B">
      <w:pPr>
        <w:rPr>
          <w:rFonts w:hint="eastAsia" w:ascii="宋体" w:hAnsi="宋体"/>
          <w:b/>
          <w:color w:val="auto"/>
          <w:szCs w:val="21"/>
          <w:highlight w:val="none"/>
        </w:rPr>
      </w:pPr>
      <w:r>
        <w:rPr>
          <w:rFonts w:hint="eastAsia" w:ascii="宋体" w:hAnsi="宋体"/>
          <w:b/>
          <w:color w:val="auto"/>
          <w:szCs w:val="21"/>
          <w:highlight w:val="none"/>
        </w:rPr>
        <w:br w:type="page"/>
      </w:r>
    </w:p>
    <w:p w14:paraId="5BA18D7B">
      <w:pPr>
        <w:pStyle w:val="18"/>
        <w:shd w:val="clear" w:color="auto" w:fill="FFFFFF"/>
        <w:spacing w:line="330" w:lineRule="atLeast"/>
        <w:ind w:left="420"/>
        <w:jc w:val="center"/>
        <w:rPr>
          <w:rFonts w:hint="eastAsia" w:ascii="宋体" w:hAnsi="宋体" w:eastAsia="宋体" w:cs="宋体"/>
          <w:b/>
          <w:bCs/>
          <w:color w:val="auto"/>
          <w:sz w:val="32"/>
          <w:szCs w:val="32"/>
          <w:highlight w:val="none"/>
          <w:lang w:eastAsia="zh-CN" w:bidi="ar"/>
        </w:rPr>
      </w:pPr>
      <w:r>
        <w:rPr>
          <w:rFonts w:hint="eastAsia" w:ascii="宋体" w:hAnsi="宋体" w:cs="宋体"/>
          <w:b/>
          <w:bCs/>
          <w:color w:val="auto"/>
          <w:sz w:val="32"/>
          <w:szCs w:val="32"/>
          <w:highlight w:val="none"/>
          <w:lang w:eastAsia="zh-CN" w:bidi="ar"/>
        </w:rPr>
        <w:t>东莞市沙田镇第二幼儿园饭堂食材配送项目</w:t>
      </w:r>
    </w:p>
    <w:p w14:paraId="6B5FD642">
      <w:pPr>
        <w:pStyle w:val="18"/>
        <w:shd w:val="clear" w:color="auto" w:fill="FFFFFF"/>
        <w:spacing w:line="330" w:lineRule="atLeast"/>
        <w:ind w:left="420"/>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val="en-US" w:eastAsia="zh-CN" w:bidi="ar"/>
        </w:rPr>
        <w:t>考核评分标准及细则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02"/>
        <w:gridCol w:w="3465"/>
        <w:gridCol w:w="906"/>
        <w:gridCol w:w="657"/>
        <w:gridCol w:w="657"/>
      </w:tblGrid>
      <w:tr w14:paraId="0B90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14:paraId="35CEA9D7">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0" w:type="auto"/>
            <w:noWrap w:val="0"/>
            <w:vAlign w:val="center"/>
          </w:tcPr>
          <w:p w14:paraId="4B3EBFA8">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0" w:type="auto"/>
            <w:noWrap w:val="0"/>
            <w:vAlign w:val="center"/>
          </w:tcPr>
          <w:p w14:paraId="03753090">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评分方法</w:t>
            </w:r>
          </w:p>
        </w:tc>
        <w:tc>
          <w:tcPr>
            <w:tcW w:w="0" w:type="auto"/>
            <w:noWrap w:val="0"/>
            <w:vAlign w:val="center"/>
          </w:tcPr>
          <w:p w14:paraId="7E47E4EE">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应得分</w:t>
            </w:r>
          </w:p>
        </w:tc>
        <w:tc>
          <w:tcPr>
            <w:tcW w:w="0" w:type="auto"/>
            <w:noWrap w:val="0"/>
            <w:vAlign w:val="center"/>
          </w:tcPr>
          <w:p w14:paraId="2747E80A">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检查扣分</w:t>
            </w:r>
          </w:p>
        </w:tc>
        <w:tc>
          <w:tcPr>
            <w:tcW w:w="0" w:type="auto"/>
            <w:noWrap w:val="0"/>
            <w:vAlign w:val="center"/>
          </w:tcPr>
          <w:p w14:paraId="2872CD6F">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14:paraId="52D5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0" w:type="auto"/>
            <w:noWrap w:val="0"/>
            <w:vAlign w:val="center"/>
          </w:tcPr>
          <w:p w14:paraId="4CFF27CC">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送货及时性</w:t>
            </w:r>
          </w:p>
        </w:tc>
        <w:tc>
          <w:tcPr>
            <w:tcW w:w="0" w:type="auto"/>
            <w:noWrap w:val="0"/>
            <w:vAlign w:val="center"/>
          </w:tcPr>
          <w:p w14:paraId="1E78026E">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要求按时送货</w:t>
            </w:r>
          </w:p>
        </w:tc>
        <w:tc>
          <w:tcPr>
            <w:tcW w:w="0" w:type="auto"/>
            <w:noWrap w:val="0"/>
            <w:vAlign w:val="center"/>
          </w:tcPr>
          <w:p w14:paraId="1952F0E8">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1、送货迟到，但不耽误饮食服务部工作的，每迟到一次扣2分；</w:t>
            </w:r>
          </w:p>
          <w:p w14:paraId="531B971B">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2、送货迟到，且耽误饮食服务部工作的，每迟到一次扣5分。</w:t>
            </w:r>
          </w:p>
        </w:tc>
        <w:tc>
          <w:tcPr>
            <w:tcW w:w="0" w:type="auto"/>
            <w:noWrap w:val="0"/>
            <w:vAlign w:val="center"/>
          </w:tcPr>
          <w:p w14:paraId="1B097A88">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0" w:type="auto"/>
            <w:noWrap w:val="0"/>
            <w:vAlign w:val="center"/>
          </w:tcPr>
          <w:p w14:paraId="748DD060">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1836E397">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0CB2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59664DD6">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货品质量</w:t>
            </w:r>
          </w:p>
        </w:tc>
        <w:tc>
          <w:tcPr>
            <w:tcW w:w="0" w:type="auto"/>
            <w:noWrap w:val="0"/>
            <w:vAlign w:val="center"/>
          </w:tcPr>
          <w:p w14:paraId="24B1E9E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要求货品新鲜、质优</w:t>
            </w:r>
          </w:p>
        </w:tc>
        <w:tc>
          <w:tcPr>
            <w:tcW w:w="0" w:type="auto"/>
            <w:noWrap w:val="0"/>
            <w:vAlign w:val="center"/>
          </w:tcPr>
          <w:p w14:paraId="35EEC9BC">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1、送来货品，品相一般，但都可使用，未变质，每次扣1分；</w:t>
            </w:r>
          </w:p>
          <w:p w14:paraId="5AB46CFE">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2、送来货品，品相较差，但都可使用，未变质，每次扣2分；</w:t>
            </w:r>
          </w:p>
          <w:p w14:paraId="3C59318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3、送来货品，剩余保质期不超过该货品标明的保质期的一半，每次扣5分；</w:t>
            </w:r>
          </w:p>
          <w:p w14:paraId="14EB7C85">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4、送来货品，过期或变质，每次扣15分。</w:t>
            </w:r>
          </w:p>
        </w:tc>
        <w:tc>
          <w:tcPr>
            <w:tcW w:w="0" w:type="auto"/>
            <w:noWrap w:val="0"/>
            <w:vAlign w:val="center"/>
          </w:tcPr>
          <w:p w14:paraId="2488938B">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0" w:type="auto"/>
            <w:noWrap w:val="0"/>
            <w:vAlign w:val="center"/>
          </w:tcPr>
          <w:p w14:paraId="5F4F7617">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7A2C1DC5">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11AD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72B338DB">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货品数量</w:t>
            </w:r>
          </w:p>
        </w:tc>
        <w:tc>
          <w:tcPr>
            <w:tcW w:w="0" w:type="auto"/>
            <w:noWrap w:val="0"/>
            <w:vAlign w:val="center"/>
          </w:tcPr>
          <w:p w14:paraId="3061181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要求按订单供应准确数量（允许误差±5%内）</w:t>
            </w:r>
          </w:p>
        </w:tc>
        <w:tc>
          <w:tcPr>
            <w:tcW w:w="0" w:type="auto"/>
            <w:noWrap w:val="0"/>
            <w:vAlign w:val="center"/>
          </w:tcPr>
          <w:p w14:paraId="4460DF28">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1、±5%≤供货数量误差≤±10%，每次扣1分；</w:t>
            </w:r>
          </w:p>
          <w:p w14:paraId="2E208784">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2、±10%&lt;供货数量误差≤±20%，每次扣2分</w:t>
            </w:r>
          </w:p>
          <w:p w14:paraId="72B85B57">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3、供货数量误&gt;±20%，每次扣3分。</w:t>
            </w:r>
          </w:p>
        </w:tc>
        <w:tc>
          <w:tcPr>
            <w:tcW w:w="0" w:type="auto"/>
            <w:noWrap w:val="0"/>
            <w:vAlign w:val="center"/>
          </w:tcPr>
          <w:p w14:paraId="46D03347">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0" w:type="auto"/>
            <w:noWrap w:val="0"/>
            <w:vAlign w:val="center"/>
          </w:tcPr>
          <w:p w14:paraId="2ED3A3F4">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72574165">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3C24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noWrap w:val="0"/>
            <w:vAlign w:val="center"/>
          </w:tcPr>
          <w:p w14:paraId="15330B12">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0" w:type="auto"/>
            <w:noWrap w:val="0"/>
            <w:vAlign w:val="center"/>
          </w:tcPr>
          <w:p w14:paraId="4F0EC8B4">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要求服务态度良好，积极配合，有问题及时改正</w:t>
            </w:r>
          </w:p>
        </w:tc>
        <w:tc>
          <w:tcPr>
            <w:tcW w:w="0" w:type="auto"/>
            <w:noWrap w:val="0"/>
            <w:vAlign w:val="center"/>
          </w:tcPr>
          <w:p w14:paraId="192C8AA5">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1、服务态度一般，但问题及时改正的，每次扣1分；</w:t>
            </w:r>
          </w:p>
          <w:p w14:paraId="009C88AF">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2、服务态度一般，且问题不能及时改正的，每次扣2分；</w:t>
            </w:r>
          </w:p>
          <w:p w14:paraId="43BDDCA9">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3、服务态度差，且问题不能及时改正的，每次扣3分。</w:t>
            </w:r>
          </w:p>
        </w:tc>
        <w:tc>
          <w:tcPr>
            <w:tcW w:w="0" w:type="auto"/>
            <w:noWrap w:val="0"/>
            <w:vAlign w:val="center"/>
          </w:tcPr>
          <w:p w14:paraId="1166A525">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noWrap w:val="0"/>
            <w:vAlign w:val="center"/>
          </w:tcPr>
          <w:p w14:paraId="00441650">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c>
          <w:tcPr>
            <w:tcW w:w="0" w:type="auto"/>
            <w:noWrap w:val="0"/>
            <w:vAlign w:val="center"/>
          </w:tcPr>
          <w:p w14:paraId="5FA27023">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rPr>
            </w:pPr>
          </w:p>
        </w:tc>
      </w:tr>
      <w:tr w14:paraId="0D40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14:paraId="129374D1">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是否存在以下行为</w:t>
            </w:r>
          </w:p>
        </w:tc>
        <w:tc>
          <w:tcPr>
            <w:tcW w:w="0" w:type="auto"/>
            <w:noWrap w:val="0"/>
            <w:vAlign w:val="center"/>
          </w:tcPr>
          <w:p w14:paraId="44ED42CF">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1、供应假冒伪劣产品；</w:t>
            </w:r>
          </w:p>
          <w:p w14:paraId="3D1E4C2E">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2、整改时间结束后仍未达到整改要求。</w:t>
            </w:r>
          </w:p>
        </w:tc>
        <w:tc>
          <w:tcPr>
            <w:tcW w:w="0" w:type="auto"/>
            <w:noWrap w:val="0"/>
            <w:vAlign w:val="center"/>
          </w:tcPr>
          <w:p w14:paraId="28FA6901">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1.□是 □否</w:t>
            </w:r>
          </w:p>
          <w:p w14:paraId="6273088E">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2.□是 □否</w:t>
            </w:r>
          </w:p>
        </w:tc>
        <w:tc>
          <w:tcPr>
            <w:tcW w:w="0" w:type="auto"/>
            <w:noWrap w:val="0"/>
            <w:vAlign w:val="center"/>
          </w:tcPr>
          <w:p w14:paraId="25181ACE">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c>
          <w:tcPr>
            <w:tcW w:w="0" w:type="auto"/>
            <w:noWrap w:val="0"/>
            <w:vAlign w:val="center"/>
          </w:tcPr>
          <w:p w14:paraId="4533F920">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r w14:paraId="5EF4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gridSpan w:val="2"/>
            <w:noWrap w:val="0"/>
            <w:vAlign w:val="center"/>
          </w:tcPr>
          <w:p w14:paraId="73AB01BF">
            <w:pPr>
              <w:keepNext w:val="0"/>
              <w:keepLines w:val="0"/>
              <w:pageBreakBefore w:val="0"/>
              <w:widowControl w:val="0"/>
              <w:kinsoku/>
              <w:wordWrap/>
              <w:overflowPunct/>
              <w:topLinePunct w:val="0"/>
              <w:bidi w:val="0"/>
              <w:snapToGrid w:val="0"/>
              <w:spacing w:before="156"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合计得分</w:t>
            </w:r>
          </w:p>
        </w:tc>
        <w:tc>
          <w:tcPr>
            <w:tcW w:w="0" w:type="auto"/>
            <w:gridSpan w:val="4"/>
            <w:noWrap w:val="0"/>
            <w:vAlign w:val="center"/>
          </w:tcPr>
          <w:p w14:paraId="1C8430BA">
            <w:pPr>
              <w:keepNext w:val="0"/>
              <w:keepLines w:val="0"/>
              <w:pageBreakBefore w:val="0"/>
              <w:widowControl w:val="0"/>
              <w:kinsoku/>
              <w:wordWrap/>
              <w:overflowPunct/>
              <w:topLinePunct w:val="0"/>
              <w:bidi w:val="0"/>
              <w:snapToGrid w:val="0"/>
              <w:spacing w:before="156" w:beforeLines="50" w:line="360" w:lineRule="auto"/>
              <w:jc w:val="both"/>
              <w:textAlignment w:val="auto"/>
              <w:rPr>
                <w:rFonts w:hint="eastAsia" w:ascii="宋体" w:hAnsi="宋体" w:eastAsia="宋体" w:cs="宋体"/>
                <w:color w:val="auto"/>
                <w:sz w:val="21"/>
                <w:szCs w:val="21"/>
                <w:highlight w:val="none"/>
                <w:lang w:eastAsia="zh-CN"/>
              </w:rPr>
            </w:pPr>
          </w:p>
        </w:tc>
      </w:tr>
    </w:tbl>
    <w:p w14:paraId="282BD5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w:t>
      </w:r>
    </w:p>
    <w:p w14:paraId="7CFD20F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实行不定时、不定人检查，按百分制打分，分好（100分－91分）、中（90分－70分）、差（70分以下）三个档次；乙方应当无条件配合甲方的检查。</w:t>
      </w:r>
    </w:p>
    <w:p w14:paraId="7DCABED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（2）得分属好的为达标，不扣减当次考核费用；属中的，每扣一分罚100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元；属差的（70分以下），情况严重的，视情况的严重性，扣除当次考核费用50%以上，100%以下（含100%）；合同期内属差的累计达三次，甲方有权单方面解除合同。</w:t>
      </w:r>
    </w:p>
    <w:p w14:paraId="7211A092">
      <w:pPr>
        <w:jc w:val="center"/>
        <w:rPr>
          <w:color w:val="auto"/>
          <w:highlight w:val="none"/>
        </w:rPr>
      </w:pPr>
      <w:r>
        <w:rPr>
          <w:rFonts w:hint="eastAsia"/>
          <w:color w:val="auto"/>
          <w:highlight w:val="none"/>
        </w:rPr>
        <w:br w:type="page"/>
      </w:r>
    </w:p>
    <w:p w14:paraId="4FCFC2AF">
      <w:pPr>
        <w:pStyle w:val="3"/>
        <w:rPr>
          <w:color w:val="auto"/>
          <w:highlight w:val="none"/>
        </w:rPr>
      </w:pPr>
      <w:bookmarkStart w:id="184" w:name="_Toc25451"/>
      <w:r>
        <w:rPr>
          <w:rFonts w:hint="eastAsia"/>
          <w:color w:val="auto"/>
          <w:highlight w:val="none"/>
        </w:rPr>
        <w:t>第六篇 投标文件格式</w:t>
      </w:r>
      <w:bookmarkEnd w:id="184"/>
    </w:p>
    <w:p w14:paraId="5BA371E0">
      <w:pPr>
        <w:rPr>
          <w:b/>
          <w:bCs/>
          <w:color w:val="auto"/>
          <w:highlight w:val="none"/>
        </w:rPr>
      </w:pPr>
      <w:r>
        <w:rPr>
          <w:rFonts w:hint="eastAsia"/>
          <w:b/>
          <w:bCs/>
          <w:color w:val="auto"/>
          <w:highlight w:val="none"/>
        </w:rPr>
        <w:t>注意事项：</w:t>
      </w:r>
    </w:p>
    <w:p w14:paraId="046F76B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1A74995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128B379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611039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5626C2F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14:paraId="69EDB8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3EDD4807">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4342BF4">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30842F9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1D16690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w:t>
      </w:r>
      <w:r>
        <w:rPr>
          <w:rFonts w:hint="eastAsia"/>
          <w:color w:val="auto"/>
          <w:sz w:val="20"/>
          <w:szCs w:val="20"/>
          <w:highlight w:val="none"/>
          <w:lang w:val="en-US" w:eastAsia="zh-CN"/>
        </w:rPr>
        <w:t>采购人</w:t>
      </w:r>
      <w:r>
        <w:rPr>
          <w:rFonts w:hint="eastAsia"/>
          <w:color w:val="auto"/>
          <w:sz w:val="20"/>
          <w:szCs w:val="20"/>
          <w:highlight w:val="none"/>
          <w:lang w:val="en-US"/>
        </w:rPr>
        <w:t>或</w:t>
      </w:r>
      <w:r>
        <w:rPr>
          <w:rFonts w:hint="eastAsia"/>
          <w:color w:val="auto"/>
          <w:sz w:val="20"/>
          <w:szCs w:val="20"/>
          <w:highlight w:val="none"/>
          <w:lang w:val="en-US" w:eastAsia="zh-CN"/>
        </w:rPr>
        <w:t>采购代理机构</w:t>
      </w:r>
      <w:r>
        <w:rPr>
          <w:rFonts w:hint="eastAsia"/>
          <w:color w:val="auto"/>
          <w:sz w:val="20"/>
          <w:szCs w:val="20"/>
          <w:highlight w:val="none"/>
          <w:lang w:val="en-US"/>
        </w:rPr>
        <w:t>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5CDE9D82">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79C6F9F0">
      <w:pPr>
        <w:rPr>
          <w:rFonts w:hint="eastAsia"/>
          <w:b/>
          <w:bCs/>
          <w:color w:val="auto"/>
          <w:highlight w:val="none"/>
        </w:rPr>
      </w:pPr>
      <w:bookmarkStart w:id="185" w:name="_Toc32213"/>
      <w:r>
        <w:rPr>
          <w:rFonts w:hint="eastAsia"/>
          <w:b/>
          <w:bCs/>
          <w:color w:val="auto"/>
          <w:highlight w:val="none"/>
        </w:rPr>
        <w:br w:type="page"/>
      </w:r>
    </w:p>
    <w:p w14:paraId="6BB67759">
      <w:pPr>
        <w:autoSpaceDE w:val="0"/>
        <w:autoSpaceDN w:val="0"/>
        <w:spacing w:line="237" w:lineRule="auto"/>
        <w:jc w:val="center"/>
        <w:rPr>
          <w:rFonts w:ascii="宋体" w:hAnsi="宋体" w:cs="宋体"/>
          <w:b/>
          <w:color w:val="auto"/>
          <w:spacing w:val="10"/>
          <w:kern w:val="0"/>
          <w:sz w:val="32"/>
          <w:szCs w:val="28"/>
          <w:highlight w:val="none"/>
          <w:lang w:val="zh-CN" w:bidi="zh-CN"/>
        </w:rPr>
      </w:pPr>
      <w:bookmarkStart w:id="186" w:name="_Toc29211"/>
      <w:r>
        <w:rPr>
          <w:rFonts w:hint="eastAsia" w:ascii="宋体" w:hAnsi="宋体" w:cs="宋体"/>
          <w:b/>
          <w:color w:val="auto"/>
          <w:spacing w:val="10"/>
          <w:kern w:val="0"/>
          <w:sz w:val="32"/>
          <w:szCs w:val="28"/>
          <w:highlight w:val="none"/>
          <w:lang w:val="zh-CN" w:bidi="zh-CN"/>
        </w:rPr>
        <w:t>（封面格式仅供参考）</w:t>
      </w:r>
      <w:bookmarkEnd w:id="185"/>
      <w:bookmarkEnd w:id="186"/>
    </w:p>
    <w:p w14:paraId="2E4F3EF8">
      <w:pPr>
        <w:jc w:val="center"/>
        <w:rPr>
          <w:rFonts w:ascii="宋体" w:hAnsi="宋体" w:cs="宋体"/>
          <w:b/>
          <w:color w:val="auto"/>
          <w:spacing w:val="10"/>
          <w:kern w:val="0"/>
          <w:sz w:val="38"/>
          <w:szCs w:val="38"/>
          <w:highlight w:val="none"/>
          <w:lang w:val="zh-CN" w:bidi="zh-CN"/>
        </w:rPr>
      </w:pPr>
    </w:p>
    <w:p w14:paraId="4A5FE8E0">
      <w:pPr>
        <w:jc w:val="center"/>
        <w:rPr>
          <w:rFonts w:ascii="宋体" w:hAnsi="宋体" w:cs="宋体"/>
          <w:b/>
          <w:color w:val="auto"/>
          <w:spacing w:val="10"/>
          <w:kern w:val="0"/>
          <w:sz w:val="38"/>
          <w:szCs w:val="38"/>
          <w:highlight w:val="none"/>
          <w:lang w:val="zh-CN" w:bidi="zh-CN"/>
        </w:rPr>
      </w:pPr>
    </w:p>
    <w:p w14:paraId="39A32992">
      <w:pPr>
        <w:jc w:val="center"/>
        <w:rPr>
          <w:rFonts w:ascii="宋体" w:hAnsi="宋体" w:cs="宋体"/>
          <w:b/>
          <w:color w:val="auto"/>
          <w:spacing w:val="10"/>
          <w:kern w:val="0"/>
          <w:sz w:val="38"/>
          <w:szCs w:val="38"/>
          <w:highlight w:val="none"/>
          <w:lang w:val="zh-CN" w:bidi="zh-CN"/>
        </w:rPr>
      </w:pPr>
    </w:p>
    <w:p w14:paraId="7C560B4F">
      <w:pPr>
        <w:jc w:val="center"/>
        <w:rPr>
          <w:rFonts w:ascii="宋体" w:hAnsi="宋体" w:cs="宋体"/>
          <w:b/>
          <w:color w:val="auto"/>
          <w:spacing w:val="10"/>
          <w:kern w:val="0"/>
          <w:sz w:val="38"/>
          <w:szCs w:val="38"/>
          <w:highlight w:val="none"/>
          <w:lang w:val="zh-CN" w:bidi="zh-CN"/>
        </w:rPr>
      </w:pPr>
    </w:p>
    <w:p w14:paraId="5C5D4E8E">
      <w:pPr>
        <w:autoSpaceDE w:val="0"/>
        <w:autoSpaceDN w:val="0"/>
        <w:spacing w:line="237" w:lineRule="auto"/>
        <w:jc w:val="center"/>
        <w:rPr>
          <w:rFonts w:ascii="宋体" w:hAnsi="宋体" w:cs="宋体"/>
          <w:b/>
          <w:color w:val="auto"/>
          <w:spacing w:val="10"/>
          <w:kern w:val="0"/>
          <w:sz w:val="32"/>
          <w:szCs w:val="28"/>
          <w:highlight w:val="none"/>
          <w:lang w:val="zh-CN" w:bidi="zh-CN"/>
        </w:rPr>
      </w:pPr>
      <w:bookmarkStart w:id="187" w:name="_Toc14748"/>
      <w:bookmarkStart w:id="188" w:name="_Toc22054"/>
      <w:r>
        <w:rPr>
          <w:rFonts w:ascii="宋体" w:hAnsi="宋体" w:cs="宋体"/>
          <w:b/>
          <w:color w:val="auto"/>
          <w:spacing w:val="10"/>
          <w:kern w:val="0"/>
          <w:sz w:val="32"/>
          <w:szCs w:val="28"/>
          <w:highlight w:val="none"/>
          <w:lang w:val="zh-CN" w:bidi="zh-CN"/>
        </w:rPr>
        <w:t>投标文件封面</w:t>
      </w:r>
      <w:bookmarkEnd w:id="187"/>
      <w:bookmarkEnd w:id="188"/>
    </w:p>
    <w:p w14:paraId="3F766F8F">
      <w:pPr>
        <w:autoSpaceDE w:val="0"/>
        <w:autoSpaceDN w:val="0"/>
        <w:spacing w:before="11"/>
        <w:jc w:val="center"/>
        <w:rPr>
          <w:rFonts w:ascii="宋体" w:hAnsi="宋体" w:cs="宋体"/>
          <w:b/>
          <w:color w:val="auto"/>
          <w:sz w:val="46"/>
          <w:szCs w:val="19"/>
          <w:highlight w:val="none"/>
          <w:lang w:val="zh-CN" w:bidi="zh-CN"/>
        </w:rPr>
      </w:pPr>
    </w:p>
    <w:p w14:paraId="02B9DBB1">
      <w:pPr>
        <w:autoSpaceDE w:val="0"/>
        <w:autoSpaceDN w:val="0"/>
        <w:spacing w:line="237" w:lineRule="auto"/>
        <w:jc w:val="center"/>
        <w:rPr>
          <w:rFonts w:ascii="宋体" w:hAnsi="宋体" w:cs="宋体"/>
          <w:b/>
          <w:color w:val="auto"/>
          <w:spacing w:val="10"/>
          <w:kern w:val="0"/>
          <w:sz w:val="40"/>
          <w:szCs w:val="36"/>
          <w:highlight w:val="none"/>
          <w:lang w:val="zh-CN" w:bidi="zh-CN"/>
        </w:rPr>
      </w:pPr>
      <w:bookmarkStart w:id="189" w:name="_Toc17848"/>
      <w:bookmarkStart w:id="190" w:name="_Toc23014"/>
      <w:r>
        <w:rPr>
          <w:rFonts w:ascii="宋体" w:hAnsi="宋体" w:cs="宋体"/>
          <w:b/>
          <w:color w:val="auto"/>
          <w:spacing w:val="10"/>
          <w:kern w:val="0"/>
          <w:sz w:val="40"/>
          <w:szCs w:val="36"/>
          <w:highlight w:val="none"/>
          <w:lang w:val="zh-CN" w:bidi="zh-CN"/>
        </w:rPr>
        <w:t>（项目名称） 投标文件封面</w:t>
      </w:r>
      <w:bookmarkEnd w:id="189"/>
      <w:bookmarkEnd w:id="190"/>
    </w:p>
    <w:p w14:paraId="27814FB2">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1FB40EE2">
      <w:pPr>
        <w:autoSpaceDE w:val="0"/>
        <w:autoSpaceDN w:val="0"/>
        <w:jc w:val="center"/>
        <w:rPr>
          <w:rFonts w:ascii="宋体" w:hAnsi="宋体" w:cs="宋体"/>
          <w:b/>
          <w:color w:val="auto"/>
          <w:sz w:val="28"/>
          <w:szCs w:val="19"/>
          <w:highlight w:val="none"/>
          <w:lang w:val="zh-CN" w:bidi="zh-CN"/>
        </w:rPr>
      </w:pPr>
    </w:p>
    <w:p w14:paraId="42DF0064">
      <w:pPr>
        <w:autoSpaceDE w:val="0"/>
        <w:autoSpaceDN w:val="0"/>
        <w:jc w:val="center"/>
        <w:rPr>
          <w:rFonts w:ascii="宋体" w:hAnsi="宋体" w:cs="宋体"/>
          <w:b/>
          <w:color w:val="auto"/>
          <w:sz w:val="28"/>
          <w:szCs w:val="19"/>
          <w:highlight w:val="none"/>
          <w:lang w:val="zh-CN" w:bidi="zh-CN"/>
        </w:rPr>
      </w:pPr>
    </w:p>
    <w:p w14:paraId="28A5B81F">
      <w:pPr>
        <w:autoSpaceDE w:val="0"/>
        <w:autoSpaceDN w:val="0"/>
        <w:jc w:val="center"/>
        <w:rPr>
          <w:rFonts w:ascii="宋体" w:hAnsi="宋体" w:cs="宋体"/>
          <w:b/>
          <w:color w:val="auto"/>
          <w:sz w:val="28"/>
          <w:szCs w:val="19"/>
          <w:highlight w:val="none"/>
          <w:lang w:val="zh-CN" w:bidi="zh-CN"/>
        </w:rPr>
      </w:pPr>
    </w:p>
    <w:p w14:paraId="12EFC1A1">
      <w:pPr>
        <w:autoSpaceDE w:val="0"/>
        <w:autoSpaceDN w:val="0"/>
        <w:jc w:val="center"/>
        <w:rPr>
          <w:rFonts w:ascii="宋体" w:hAnsi="宋体" w:cs="宋体"/>
          <w:b/>
          <w:color w:val="auto"/>
          <w:sz w:val="28"/>
          <w:szCs w:val="19"/>
          <w:highlight w:val="none"/>
          <w:lang w:val="zh-CN" w:bidi="zh-CN"/>
        </w:rPr>
      </w:pPr>
    </w:p>
    <w:p w14:paraId="67006BE1">
      <w:pPr>
        <w:autoSpaceDE w:val="0"/>
        <w:autoSpaceDN w:val="0"/>
        <w:jc w:val="center"/>
        <w:rPr>
          <w:rFonts w:ascii="宋体" w:hAnsi="宋体" w:cs="宋体"/>
          <w:b/>
          <w:color w:val="auto"/>
          <w:sz w:val="28"/>
          <w:szCs w:val="19"/>
          <w:highlight w:val="none"/>
          <w:lang w:val="zh-CN" w:bidi="zh-CN"/>
        </w:rPr>
      </w:pPr>
    </w:p>
    <w:p w14:paraId="31305212">
      <w:pPr>
        <w:autoSpaceDE w:val="0"/>
        <w:autoSpaceDN w:val="0"/>
        <w:jc w:val="center"/>
        <w:rPr>
          <w:rFonts w:ascii="宋体" w:hAnsi="宋体" w:cs="宋体"/>
          <w:b/>
          <w:color w:val="auto"/>
          <w:sz w:val="28"/>
          <w:szCs w:val="19"/>
          <w:highlight w:val="none"/>
          <w:lang w:val="zh-CN" w:bidi="zh-CN"/>
        </w:rPr>
      </w:pPr>
    </w:p>
    <w:p w14:paraId="048CB701">
      <w:pPr>
        <w:autoSpaceDE w:val="0"/>
        <w:autoSpaceDN w:val="0"/>
        <w:spacing w:before="8"/>
        <w:jc w:val="center"/>
        <w:rPr>
          <w:rFonts w:ascii="宋体" w:hAnsi="宋体" w:cs="宋体"/>
          <w:b/>
          <w:color w:val="auto"/>
          <w:sz w:val="38"/>
          <w:szCs w:val="19"/>
          <w:highlight w:val="none"/>
          <w:lang w:val="zh-CN" w:bidi="zh-CN"/>
        </w:rPr>
      </w:pPr>
    </w:p>
    <w:p w14:paraId="77D8F50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0784914D">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4D14DF6">
      <w:pPr>
        <w:autoSpaceDE w:val="0"/>
        <w:autoSpaceDN w:val="0"/>
        <w:jc w:val="center"/>
        <w:rPr>
          <w:rFonts w:ascii="宋体" w:hAnsi="宋体" w:cs="宋体"/>
          <w:b/>
          <w:color w:val="auto"/>
          <w:sz w:val="24"/>
          <w:szCs w:val="19"/>
          <w:highlight w:val="none"/>
          <w:lang w:val="zh-CN" w:bidi="zh-CN"/>
        </w:rPr>
      </w:pPr>
    </w:p>
    <w:p w14:paraId="1EE31731">
      <w:pPr>
        <w:autoSpaceDE w:val="0"/>
        <w:autoSpaceDN w:val="0"/>
        <w:jc w:val="center"/>
        <w:rPr>
          <w:rFonts w:ascii="宋体" w:hAnsi="宋体" w:cs="宋体"/>
          <w:b/>
          <w:color w:val="auto"/>
          <w:sz w:val="24"/>
          <w:szCs w:val="19"/>
          <w:highlight w:val="none"/>
          <w:lang w:val="zh-CN" w:bidi="zh-CN"/>
        </w:rPr>
      </w:pPr>
    </w:p>
    <w:p w14:paraId="26496603">
      <w:pPr>
        <w:autoSpaceDE w:val="0"/>
        <w:autoSpaceDN w:val="0"/>
        <w:jc w:val="center"/>
        <w:rPr>
          <w:rFonts w:ascii="宋体" w:hAnsi="宋体" w:cs="宋体"/>
          <w:b/>
          <w:color w:val="auto"/>
          <w:sz w:val="24"/>
          <w:szCs w:val="19"/>
          <w:highlight w:val="none"/>
          <w:lang w:val="zh-CN" w:bidi="zh-CN"/>
        </w:rPr>
      </w:pPr>
    </w:p>
    <w:p w14:paraId="5A4560A1">
      <w:pPr>
        <w:autoSpaceDE w:val="0"/>
        <w:autoSpaceDN w:val="0"/>
        <w:jc w:val="center"/>
        <w:rPr>
          <w:rFonts w:ascii="宋体" w:hAnsi="宋体" w:cs="宋体"/>
          <w:b/>
          <w:color w:val="auto"/>
          <w:sz w:val="24"/>
          <w:szCs w:val="19"/>
          <w:highlight w:val="none"/>
          <w:lang w:val="zh-CN" w:bidi="zh-CN"/>
        </w:rPr>
      </w:pPr>
    </w:p>
    <w:p w14:paraId="6871764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AFA273B">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4CC6525">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3F8AA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4FD71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27E37B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auto"/>
                <w:szCs w:val="21"/>
                <w:highlight w:val="none"/>
              </w:rPr>
            </w:pPr>
          </w:p>
        </w:tc>
        <w:tc>
          <w:tcPr>
            <w:tcW w:w="1551" w:type="dxa"/>
            <w:vAlign w:val="center"/>
          </w:tcPr>
          <w:p w14:paraId="55E3CFC9">
            <w:pPr>
              <w:spacing w:line="360" w:lineRule="auto"/>
              <w:jc w:val="center"/>
              <w:rPr>
                <w:rFonts w:ascii="宋体" w:hAnsi="宋体" w:cs="宋体"/>
                <w:color w:val="auto"/>
                <w:szCs w:val="21"/>
                <w:highlight w:val="none"/>
              </w:rPr>
            </w:pPr>
          </w:p>
        </w:tc>
        <w:tc>
          <w:tcPr>
            <w:tcW w:w="3382" w:type="dxa"/>
            <w:vAlign w:val="center"/>
          </w:tcPr>
          <w:p w14:paraId="15EF0A13">
            <w:pPr>
              <w:spacing w:line="360" w:lineRule="auto"/>
              <w:jc w:val="center"/>
              <w:rPr>
                <w:rFonts w:ascii="宋体" w:hAnsi="宋体" w:cs="宋体"/>
                <w:color w:val="auto"/>
                <w:szCs w:val="21"/>
                <w:highlight w:val="none"/>
              </w:rPr>
            </w:pPr>
          </w:p>
        </w:tc>
        <w:tc>
          <w:tcPr>
            <w:tcW w:w="2452" w:type="dxa"/>
            <w:vAlign w:val="center"/>
          </w:tcPr>
          <w:p w14:paraId="6A41B775">
            <w:pPr>
              <w:spacing w:line="360" w:lineRule="auto"/>
              <w:jc w:val="center"/>
              <w:rPr>
                <w:rFonts w:ascii="宋体" w:hAnsi="宋体" w:cs="宋体"/>
                <w:color w:val="auto"/>
                <w:szCs w:val="21"/>
                <w:highlight w:val="none"/>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auto"/>
                <w:szCs w:val="21"/>
                <w:highlight w:val="none"/>
              </w:rPr>
            </w:pPr>
          </w:p>
        </w:tc>
        <w:tc>
          <w:tcPr>
            <w:tcW w:w="1551" w:type="dxa"/>
            <w:vAlign w:val="center"/>
          </w:tcPr>
          <w:p w14:paraId="6EF3034D">
            <w:pPr>
              <w:spacing w:line="360" w:lineRule="auto"/>
              <w:jc w:val="center"/>
              <w:rPr>
                <w:rFonts w:ascii="宋体" w:hAnsi="宋体" w:cs="宋体"/>
                <w:color w:val="auto"/>
                <w:szCs w:val="21"/>
                <w:highlight w:val="none"/>
              </w:rPr>
            </w:pPr>
          </w:p>
        </w:tc>
        <w:tc>
          <w:tcPr>
            <w:tcW w:w="3382" w:type="dxa"/>
            <w:vAlign w:val="center"/>
          </w:tcPr>
          <w:p w14:paraId="73B1A1A6">
            <w:pPr>
              <w:spacing w:line="360" w:lineRule="auto"/>
              <w:jc w:val="center"/>
              <w:rPr>
                <w:rFonts w:ascii="宋体" w:hAnsi="宋体" w:cs="宋体"/>
                <w:color w:val="auto"/>
                <w:szCs w:val="21"/>
                <w:highlight w:val="none"/>
              </w:rPr>
            </w:pPr>
          </w:p>
        </w:tc>
        <w:tc>
          <w:tcPr>
            <w:tcW w:w="2452" w:type="dxa"/>
            <w:vAlign w:val="center"/>
          </w:tcPr>
          <w:p w14:paraId="5C96C55B">
            <w:pPr>
              <w:spacing w:line="360" w:lineRule="auto"/>
              <w:jc w:val="center"/>
              <w:rPr>
                <w:rFonts w:ascii="宋体" w:hAnsi="宋体" w:cs="宋体"/>
                <w:color w:val="auto"/>
                <w:szCs w:val="21"/>
                <w:highlight w:val="none"/>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auto"/>
                <w:szCs w:val="21"/>
                <w:highlight w:val="none"/>
              </w:rPr>
            </w:pPr>
          </w:p>
        </w:tc>
        <w:tc>
          <w:tcPr>
            <w:tcW w:w="1551" w:type="dxa"/>
            <w:vAlign w:val="center"/>
          </w:tcPr>
          <w:p w14:paraId="4A25B78C">
            <w:pPr>
              <w:spacing w:line="360" w:lineRule="auto"/>
              <w:jc w:val="center"/>
              <w:rPr>
                <w:rFonts w:ascii="宋体" w:hAnsi="宋体" w:cs="宋体"/>
                <w:color w:val="auto"/>
                <w:szCs w:val="21"/>
                <w:highlight w:val="none"/>
              </w:rPr>
            </w:pPr>
          </w:p>
        </w:tc>
        <w:tc>
          <w:tcPr>
            <w:tcW w:w="3382" w:type="dxa"/>
            <w:vAlign w:val="center"/>
          </w:tcPr>
          <w:p w14:paraId="3291D3E8">
            <w:pPr>
              <w:spacing w:line="360" w:lineRule="auto"/>
              <w:jc w:val="center"/>
              <w:rPr>
                <w:rFonts w:ascii="宋体" w:hAnsi="宋体" w:cs="宋体"/>
                <w:color w:val="auto"/>
                <w:szCs w:val="21"/>
                <w:highlight w:val="none"/>
              </w:rPr>
            </w:pPr>
          </w:p>
        </w:tc>
        <w:tc>
          <w:tcPr>
            <w:tcW w:w="2452" w:type="dxa"/>
            <w:vAlign w:val="center"/>
          </w:tcPr>
          <w:p w14:paraId="2CE4B7F5">
            <w:pPr>
              <w:spacing w:line="360" w:lineRule="auto"/>
              <w:jc w:val="center"/>
              <w:rPr>
                <w:rFonts w:ascii="宋体" w:hAnsi="宋体" w:cs="宋体"/>
                <w:color w:val="auto"/>
                <w:szCs w:val="21"/>
                <w:highlight w:val="none"/>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auto"/>
                <w:szCs w:val="21"/>
                <w:highlight w:val="none"/>
              </w:rPr>
            </w:pPr>
          </w:p>
        </w:tc>
        <w:tc>
          <w:tcPr>
            <w:tcW w:w="1551" w:type="dxa"/>
            <w:vAlign w:val="center"/>
          </w:tcPr>
          <w:p w14:paraId="547832E9">
            <w:pPr>
              <w:spacing w:line="360" w:lineRule="auto"/>
              <w:jc w:val="center"/>
              <w:rPr>
                <w:rFonts w:ascii="宋体" w:hAnsi="宋体" w:cs="宋体"/>
                <w:color w:val="auto"/>
                <w:szCs w:val="21"/>
                <w:highlight w:val="none"/>
              </w:rPr>
            </w:pPr>
          </w:p>
        </w:tc>
        <w:tc>
          <w:tcPr>
            <w:tcW w:w="3382" w:type="dxa"/>
            <w:vAlign w:val="center"/>
          </w:tcPr>
          <w:p w14:paraId="57299DB7">
            <w:pPr>
              <w:spacing w:line="360" w:lineRule="auto"/>
              <w:jc w:val="center"/>
              <w:rPr>
                <w:rFonts w:ascii="宋体" w:hAnsi="宋体" w:cs="宋体"/>
                <w:color w:val="auto"/>
                <w:szCs w:val="21"/>
                <w:highlight w:val="none"/>
              </w:rPr>
            </w:pPr>
          </w:p>
        </w:tc>
        <w:tc>
          <w:tcPr>
            <w:tcW w:w="2452" w:type="dxa"/>
            <w:vAlign w:val="center"/>
          </w:tcPr>
          <w:p w14:paraId="5BBB0062">
            <w:pPr>
              <w:spacing w:line="360" w:lineRule="auto"/>
              <w:jc w:val="center"/>
              <w:rPr>
                <w:rFonts w:ascii="宋体" w:hAnsi="宋体" w:cs="宋体"/>
                <w:color w:val="auto"/>
                <w:szCs w:val="21"/>
                <w:highlight w:val="none"/>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706CA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4C217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43CA02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auto"/>
                <w:szCs w:val="21"/>
                <w:highlight w:val="none"/>
              </w:rPr>
            </w:pPr>
          </w:p>
        </w:tc>
        <w:tc>
          <w:tcPr>
            <w:tcW w:w="1551" w:type="dxa"/>
            <w:vAlign w:val="center"/>
          </w:tcPr>
          <w:p w14:paraId="016347A8">
            <w:pPr>
              <w:spacing w:line="360" w:lineRule="auto"/>
              <w:jc w:val="center"/>
              <w:rPr>
                <w:rFonts w:ascii="宋体" w:hAnsi="宋体" w:cs="宋体"/>
                <w:color w:val="auto"/>
                <w:szCs w:val="21"/>
                <w:highlight w:val="none"/>
              </w:rPr>
            </w:pPr>
          </w:p>
        </w:tc>
        <w:tc>
          <w:tcPr>
            <w:tcW w:w="3382" w:type="dxa"/>
            <w:vAlign w:val="center"/>
          </w:tcPr>
          <w:p w14:paraId="26DD3CB9">
            <w:pPr>
              <w:spacing w:line="360" w:lineRule="auto"/>
              <w:jc w:val="center"/>
              <w:rPr>
                <w:rFonts w:ascii="宋体" w:hAnsi="宋体" w:cs="宋体"/>
                <w:color w:val="auto"/>
                <w:szCs w:val="21"/>
                <w:highlight w:val="none"/>
              </w:rPr>
            </w:pPr>
          </w:p>
        </w:tc>
        <w:tc>
          <w:tcPr>
            <w:tcW w:w="2452" w:type="dxa"/>
            <w:vAlign w:val="center"/>
          </w:tcPr>
          <w:p w14:paraId="396D49E6">
            <w:pPr>
              <w:spacing w:line="360" w:lineRule="auto"/>
              <w:jc w:val="center"/>
              <w:rPr>
                <w:rFonts w:ascii="宋体" w:hAnsi="宋体" w:cs="宋体"/>
                <w:color w:val="auto"/>
                <w:szCs w:val="21"/>
                <w:highlight w:val="none"/>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auto"/>
                <w:szCs w:val="21"/>
                <w:highlight w:val="none"/>
              </w:rPr>
            </w:pPr>
          </w:p>
        </w:tc>
        <w:tc>
          <w:tcPr>
            <w:tcW w:w="1551" w:type="dxa"/>
            <w:vAlign w:val="center"/>
          </w:tcPr>
          <w:p w14:paraId="1E920D66">
            <w:pPr>
              <w:spacing w:line="360" w:lineRule="auto"/>
              <w:jc w:val="center"/>
              <w:rPr>
                <w:rFonts w:ascii="宋体" w:hAnsi="宋体" w:cs="宋体"/>
                <w:color w:val="auto"/>
                <w:szCs w:val="21"/>
                <w:highlight w:val="none"/>
              </w:rPr>
            </w:pPr>
          </w:p>
        </w:tc>
        <w:tc>
          <w:tcPr>
            <w:tcW w:w="3382" w:type="dxa"/>
            <w:vAlign w:val="center"/>
          </w:tcPr>
          <w:p w14:paraId="424CD9DD">
            <w:pPr>
              <w:spacing w:line="360" w:lineRule="auto"/>
              <w:jc w:val="center"/>
              <w:rPr>
                <w:rFonts w:ascii="宋体" w:hAnsi="宋体" w:cs="宋体"/>
                <w:color w:val="auto"/>
                <w:szCs w:val="21"/>
                <w:highlight w:val="none"/>
              </w:rPr>
            </w:pPr>
          </w:p>
        </w:tc>
        <w:tc>
          <w:tcPr>
            <w:tcW w:w="2452" w:type="dxa"/>
            <w:vAlign w:val="center"/>
          </w:tcPr>
          <w:p w14:paraId="31522C5F">
            <w:pPr>
              <w:spacing w:line="360" w:lineRule="auto"/>
              <w:jc w:val="center"/>
              <w:rPr>
                <w:rFonts w:ascii="宋体" w:hAnsi="宋体" w:cs="宋体"/>
                <w:color w:val="auto"/>
                <w:szCs w:val="21"/>
                <w:highlight w:val="none"/>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auto"/>
                <w:szCs w:val="21"/>
                <w:highlight w:val="none"/>
              </w:rPr>
            </w:pPr>
          </w:p>
        </w:tc>
        <w:tc>
          <w:tcPr>
            <w:tcW w:w="1551" w:type="dxa"/>
            <w:vAlign w:val="center"/>
          </w:tcPr>
          <w:p w14:paraId="79C6C445">
            <w:pPr>
              <w:spacing w:line="360" w:lineRule="auto"/>
              <w:jc w:val="center"/>
              <w:rPr>
                <w:rFonts w:ascii="宋体" w:hAnsi="宋体" w:cs="宋体"/>
                <w:color w:val="auto"/>
                <w:szCs w:val="21"/>
                <w:highlight w:val="none"/>
              </w:rPr>
            </w:pPr>
          </w:p>
        </w:tc>
        <w:tc>
          <w:tcPr>
            <w:tcW w:w="3382" w:type="dxa"/>
            <w:vAlign w:val="center"/>
          </w:tcPr>
          <w:p w14:paraId="723D82AB">
            <w:pPr>
              <w:spacing w:line="360" w:lineRule="auto"/>
              <w:jc w:val="center"/>
              <w:rPr>
                <w:rFonts w:ascii="宋体" w:hAnsi="宋体" w:cs="宋体"/>
                <w:color w:val="auto"/>
                <w:szCs w:val="21"/>
                <w:highlight w:val="none"/>
              </w:rPr>
            </w:pPr>
          </w:p>
        </w:tc>
        <w:tc>
          <w:tcPr>
            <w:tcW w:w="2452" w:type="dxa"/>
            <w:vAlign w:val="center"/>
          </w:tcPr>
          <w:p w14:paraId="34B5F650">
            <w:pPr>
              <w:spacing w:line="360" w:lineRule="auto"/>
              <w:jc w:val="center"/>
              <w:rPr>
                <w:rFonts w:ascii="宋体" w:hAnsi="宋体" w:cs="宋体"/>
                <w:color w:val="auto"/>
                <w:szCs w:val="21"/>
                <w:highlight w:val="none"/>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auto"/>
                <w:szCs w:val="21"/>
                <w:highlight w:val="none"/>
              </w:rPr>
            </w:pPr>
          </w:p>
        </w:tc>
        <w:tc>
          <w:tcPr>
            <w:tcW w:w="1551" w:type="dxa"/>
            <w:vAlign w:val="center"/>
          </w:tcPr>
          <w:p w14:paraId="345EEADC">
            <w:pPr>
              <w:spacing w:line="360" w:lineRule="auto"/>
              <w:jc w:val="center"/>
              <w:rPr>
                <w:rFonts w:ascii="宋体" w:hAnsi="宋体" w:cs="宋体"/>
                <w:color w:val="auto"/>
                <w:szCs w:val="21"/>
                <w:highlight w:val="none"/>
              </w:rPr>
            </w:pPr>
          </w:p>
        </w:tc>
        <w:tc>
          <w:tcPr>
            <w:tcW w:w="3382" w:type="dxa"/>
            <w:vAlign w:val="center"/>
          </w:tcPr>
          <w:p w14:paraId="2B0DA067">
            <w:pPr>
              <w:spacing w:line="360" w:lineRule="auto"/>
              <w:jc w:val="center"/>
              <w:rPr>
                <w:rFonts w:ascii="宋体" w:hAnsi="宋体" w:cs="宋体"/>
                <w:color w:val="auto"/>
                <w:szCs w:val="21"/>
                <w:highlight w:val="none"/>
              </w:rPr>
            </w:pPr>
          </w:p>
        </w:tc>
        <w:tc>
          <w:tcPr>
            <w:tcW w:w="2452" w:type="dxa"/>
            <w:vAlign w:val="center"/>
          </w:tcPr>
          <w:p w14:paraId="60E783C3">
            <w:pPr>
              <w:spacing w:line="360" w:lineRule="auto"/>
              <w:jc w:val="center"/>
              <w:rPr>
                <w:rFonts w:ascii="宋体" w:hAnsi="宋体" w:cs="宋体"/>
                <w:color w:val="auto"/>
                <w:szCs w:val="21"/>
                <w:highlight w:val="none"/>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auto"/>
                <w:szCs w:val="21"/>
                <w:highlight w:val="none"/>
              </w:rPr>
            </w:pPr>
          </w:p>
        </w:tc>
        <w:tc>
          <w:tcPr>
            <w:tcW w:w="1551" w:type="dxa"/>
            <w:vAlign w:val="center"/>
          </w:tcPr>
          <w:p w14:paraId="71EE135D">
            <w:pPr>
              <w:spacing w:line="360" w:lineRule="auto"/>
              <w:jc w:val="center"/>
              <w:rPr>
                <w:rFonts w:ascii="宋体" w:hAnsi="宋体" w:cs="宋体"/>
                <w:color w:val="auto"/>
                <w:szCs w:val="21"/>
                <w:highlight w:val="none"/>
              </w:rPr>
            </w:pPr>
          </w:p>
        </w:tc>
        <w:tc>
          <w:tcPr>
            <w:tcW w:w="3382" w:type="dxa"/>
            <w:vAlign w:val="center"/>
          </w:tcPr>
          <w:p w14:paraId="778485F6">
            <w:pPr>
              <w:spacing w:line="360" w:lineRule="auto"/>
              <w:jc w:val="center"/>
              <w:rPr>
                <w:rFonts w:ascii="宋体" w:hAnsi="宋体" w:cs="宋体"/>
                <w:color w:val="auto"/>
                <w:szCs w:val="21"/>
                <w:highlight w:val="none"/>
              </w:rPr>
            </w:pPr>
          </w:p>
        </w:tc>
        <w:tc>
          <w:tcPr>
            <w:tcW w:w="2452" w:type="dxa"/>
            <w:vAlign w:val="center"/>
          </w:tcPr>
          <w:p w14:paraId="5EE815B8">
            <w:pPr>
              <w:spacing w:line="360" w:lineRule="auto"/>
              <w:jc w:val="center"/>
              <w:rPr>
                <w:rFonts w:ascii="宋体" w:hAnsi="宋体" w:cs="宋体"/>
                <w:color w:val="auto"/>
                <w:szCs w:val="21"/>
                <w:highlight w:val="none"/>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auto"/>
                <w:szCs w:val="21"/>
                <w:highlight w:val="none"/>
              </w:rPr>
            </w:pPr>
          </w:p>
        </w:tc>
        <w:tc>
          <w:tcPr>
            <w:tcW w:w="1551" w:type="dxa"/>
            <w:vAlign w:val="center"/>
          </w:tcPr>
          <w:p w14:paraId="4D4F4C1E">
            <w:pPr>
              <w:spacing w:line="360" w:lineRule="auto"/>
              <w:jc w:val="center"/>
              <w:rPr>
                <w:rFonts w:ascii="宋体" w:hAnsi="宋体" w:cs="宋体"/>
                <w:color w:val="auto"/>
                <w:szCs w:val="21"/>
                <w:highlight w:val="none"/>
              </w:rPr>
            </w:pPr>
          </w:p>
        </w:tc>
        <w:tc>
          <w:tcPr>
            <w:tcW w:w="3382" w:type="dxa"/>
            <w:vAlign w:val="center"/>
          </w:tcPr>
          <w:p w14:paraId="426BA4BE">
            <w:pPr>
              <w:spacing w:line="360" w:lineRule="auto"/>
              <w:jc w:val="center"/>
              <w:rPr>
                <w:rFonts w:ascii="宋体" w:hAnsi="宋体" w:cs="宋体"/>
                <w:color w:val="auto"/>
                <w:szCs w:val="21"/>
                <w:highlight w:val="none"/>
              </w:rPr>
            </w:pPr>
          </w:p>
        </w:tc>
        <w:tc>
          <w:tcPr>
            <w:tcW w:w="2452" w:type="dxa"/>
            <w:vAlign w:val="center"/>
          </w:tcPr>
          <w:p w14:paraId="3D55F784">
            <w:pPr>
              <w:spacing w:line="360" w:lineRule="auto"/>
              <w:jc w:val="center"/>
              <w:rPr>
                <w:rFonts w:ascii="宋体" w:hAnsi="宋体" w:cs="宋体"/>
                <w:color w:val="auto"/>
                <w:szCs w:val="21"/>
                <w:highlight w:val="none"/>
              </w:rPr>
            </w:pPr>
          </w:p>
        </w:tc>
      </w:tr>
    </w:tbl>
    <w:p w14:paraId="632FA82B">
      <w:pPr>
        <w:rPr>
          <w:b/>
          <w:color w:val="auto"/>
          <w:sz w:val="24"/>
          <w:highlight w:val="none"/>
        </w:rPr>
      </w:pPr>
      <w:r>
        <w:rPr>
          <w:b/>
          <w:color w:val="auto"/>
          <w:sz w:val="24"/>
          <w:highlight w:val="none"/>
        </w:rPr>
        <w:br w:type="page"/>
      </w:r>
    </w:p>
    <w:p w14:paraId="486702D5">
      <w:pPr>
        <w:spacing w:before="46"/>
        <w:ind w:left="3125" w:right="3192"/>
        <w:jc w:val="center"/>
        <w:rPr>
          <w:b/>
          <w:color w:val="auto"/>
          <w:sz w:val="24"/>
          <w:highlight w:val="none"/>
        </w:rPr>
      </w:pPr>
      <w:r>
        <w:rPr>
          <w:b/>
          <w:color w:val="auto"/>
          <w:sz w:val="24"/>
          <w:highlight w:val="none"/>
        </w:rPr>
        <w:t>投标文件目录</w:t>
      </w:r>
    </w:p>
    <w:p w14:paraId="0C67C541">
      <w:pPr>
        <w:pStyle w:val="8"/>
        <w:spacing w:before="8"/>
        <w:rPr>
          <w:b/>
          <w:color w:val="auto"/>
          <w:sz w:val="12"/>
          <w:highlight w:val="none"/>
        </w:rPr>
      </w:pPr>
    </w:p>
    <w:p w14:paraId="7D476226">
      <w:pPr>
        <w:spacing w:line="360" w:lineRule="auto"/>
        <w:rPr>
          <w:color w:val="auto"/>
          <w:highlight w:val="none"/>
        </w:rPr>
      </w:pPr>
      <w:r>
        <w:rPr>
          <w:color w:val="auto"/>
          <w:highlight w:val="none"/>
        </w:rPr>
        <w:t>一、投标函</w:t>
      </w:r>
    </w:p>
    <w:p w14:paraId="45EACDA8">
      <w:pPr>
        <w:spacing w:line="360" w:lineRule="auto"/>
        <w:rPr>
          <w:color w:val="auto"/>
          <w:highlight w:val="none"/>
        </w:rPr>
      </w:pPr>
      <w:r>
        <w:rPr>
          <w:color w:val="auto"/>
          <w:highlight w:val="none"/>
        </w:rPr>
        <w:t>二、开标一览表</w:t>
      </w:r>
    </w:p>
    <w:p w14:paraId="3E489E5D">
      <w:pPr>
        <w:spacing w:line="360" w:lineRule="auto"/>
        <w:rPr>
          <w:color w:val="auto"/>
          <w:highlight w:val="none"/>
        </w:rPr>
      </w:pPr>
      <w:r>
        <w:rPr>
          <w:color w:val="auto"/>
          <w:highlight w:val="none"/>
        </w:rPr>
        <w:t>三、分项报价表</w:t>
      </w:r>
    </w:p>
    <w:p w14:paraId="1041DCC8">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FC5BCBB">
      <w:pPr>
        <w:spacing w:line="360" w:lineRule="auto"/>
        <w:rPr>
          <w:color w:val="auto"/>
          <w:highlight w:val="none"/>
        </w:rPr>
      </w:pPr>
      <w:r>
        <w:rPr>
          <w:color w:val="auto"/>
          <w:highlight w:val="none"/>
        </w:rPr>
        <w:t>五、</w:t>
      </w:r>
      <w:r>
        <w:rPr>
          <w:rFonts w:hint="eastAsia"/>
          <w:color w:val="auto"/>
          <w:highlight w:val="none"/>
        </w:rPr>
        <w:t>法定代表人授权书</w:t>
      </w:r>
    </w:p>
    <w:p w14:paraId="0D4631DD">
      <w:pPr>
        <w:spacing w:line="360" w:lineRule="auto"/>
        <w:rPr>
          <w:color w:val="auto"/>
          <w:highlight w:val="none"/>
        </w:rPr>
      </w:pPr>
      <w:r>
        <w:rPr>
          <w:color w:val="auto"/>
          <w:highlight w:val="none"/>
        </w:rPr>
        <w:t>六、</w:t>
      </w:r>
      <w:r>
        <w:rPr>
          <w:rFonts w:hint="eastAsia"/>
          <w:color w:val="auto"/>
          <w:highlight w:val="none"/>
        </w:rPr>
        <w:t>投标保证金</w:t>
      </w:r>
    </w:p>
    <w:p w14:paraId="5375D845">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025937D">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53C7BED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262622A5">
      <w:pPr>
        <w:spacing w:line="360" w:lineRule="auto"/>
        <w:rPr>
          <w:color w:val="auto"/>
          <w:highlight w:val="none"/>
        </w:rPr>
      </w:pPr>
      <w:r>
        <w:rPr>
          <w:color w:val="auto"/>
          <w:highlight w:val="none"/>
        </w:rPr>
        <w:t>十、</w:t>
      </w:r>
      <w:r>
        <w:rPr>
          <w:rFonts w:hint="eastAsia"/>
          <w:color w:val="auto"/>
          <w:highlight w:val="none"/>
        </w:rPr>
        <w:t>投标人业绩情况表</w:t>
      </w:r>
    </w:p>
    <w:p w14:paraId="2E6F0493">
      <w:pPr>
        <w:spacing w:line="360" w:lineRule="auto"/>
        <w:rPr>
          <w:color w:val="auto"/>
          <w:highlight w:val="none"/>
        </w:rPr>
      </w:pPr>
      <w:r>
        <w:rPr>
          <w:color w:val="auto"/>
          <w:highlight w:val="none"/>
        </w:rPr>
        <w:t>十一、</w:t>
      </w:r>
      <w:r>
        <w:rPr>
          <w:rFonts w:hint="eastAsia"/>
          <w:color w:val="auto"/>
          <w:highlight w:val="none"/>
        </w:rPr>
        <w:t>技术要求响应表</w:t>
      </w:r>
    </w:p>
    <w:p w14:paraId="2E784BD1">
      <w:pPr>
        <w:spacing w:line="360" w:lineRule="auto"/>
        <w:rPr>
          <w:color w:val="auto"/>
          <w:highlight w:val="none"/>
        </w:rPr>
      </w:pPr>
      <w:r>
        <w:rPr>
          <w:color w:val="auto"/>
          <w:highlight w:val="none"/>
        </w:rPr>
        <w:t>十二、</w:t>
      </w:r>
      <w:r>
        <w:rPr>
          <w:rFonts w:hint="eastAsia"/>
          <w:color w:val="auto"/>
          <w:highlight w:val="none"/>
        </w:rPr>
        <w:t>商务要求响应表</w:t>
      </w:r>
    </w:p>
    <w:p w14:paraId="736289A3">
      <w:pPr>
        <w:spacing w:line="360" w:lineRule="auto"/>
        <w:rPr>
          <w:color w:val="auto"/>
          <w:highlight w:val="none"/>
        </w:rPr>
      </w:pPr>
      <w:r>
        <w:rPr>
          <w:color w:val="auto"/>
          <w:highlight w:val="none"/>
        </w:rPr>
        <w:t>十三、</w:t>
      </w:r>
      <w:r>
        <w:rPr>
          <w:rFonts w:hint="eastAsia"/>
          <w:color w:val="auto"/>
          <w:highlight w:val="none"/>
        </w:rPr>
        <w:t>履约进度计划表</w:t>
      </w:r>
    </w:p>
    <w:p w14:paraId="75E93B25">
      <w:pPr>
        <w:spacing w:line="360" w:lineRule="auto"/>
        <w:rPr>
          <w:color w:val="auto"/>
          <w:highlight w:val="none"/>
        </w:rPr>
      </w:pPr>
      <w:r>
        <w:rPr>
          <w:color w:val="auto"/>
          <w:highlight w:val="none"/>
        </w:rPr>
        <w:t>十四、</w:t>
      </w:r>
      <w:r>
        <w:rPr>
          <w:rFonts w:hint="eastAsia"/>
          <w:color w:val="auto"/>
          <w:highlight w:val="none"/>
        </w:rPr>
        <w:t>各类证明材料</w:t>
      </w:r>
    </w:p>
    <w:p w14:paraId="152480C9">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637E0C76">
      <w:pPr>
        <w:spacing w:line="360" w:lineRule="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0C1687A9">
      <w:pPr>
        <w:rPr>
          <w:b/>
          <w:bCs/>
          <w:color w:val="auto"/>
          <w:sz w:val="24"/>
          <w:szCs w:val="32"/>
          <w:highlight w:val="none"/>
        </w:rPr>
      </w:pPr>
      <w:r>
        <w:rPr>
          <w:b/>
          <w:bCs/>
          <w:color w:val="auto"/>
          <w:sz w:val="24"/>
          <w:szCs w:val="32"/>
          <w:highlight w:val="none"/>
        </w:rPr>
        <w:br w:type="page"/>
      </w:r>
    </w:p>
    <w:p w14:paraId="72A7AE8D">
      <w:pPr>
        <w:rPr>
          <w:b/>
          <w:bCs/>
          <w:color w:val="auto"/>
          <w:sz w:val="24"/>
          <w:szCs w:val="32"/>
          <w:highlight w:val="none"/>
        </w:rPr>
      </w:pPr>
      <w:r>
        <w:rPr>
          <w:b/>
          <w:bCs/>
          <w:color w:val="auto"/>
          <w:sz w:val="24"/>
          <w:szCs w:val="32"/>
          <w:highlight w:val="none"/>
        </w:rPr>
        <w:t>格式一：</w:t>
      </w:r>
    </w:p>
    <w:p w14:paraId="3244F198">
      <w:pPr>
        <w:pStyle w:val="8"/>
        <w:jc w:val="center"/>
        <w:rPr>
          <w:b/>
          <w:color w:val="auto"/>
          <w:sz w:val="12"/>
          <w:highlight w:val="none"/>
        </w:rPr>
      </w:pPr>
      <w:r>
        <w:rPr>
          <w:b/>
          <w:color w:val="auto"/>
          <w:highlight w:val="none"/>
        </w:rPr>
        <w:t>投标函</w:t>
      </w:r>
    </w:p>
    <w:p w14:paraId="4BF9FA09">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7A89415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CE7C06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4A2D06C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21440E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3D955EB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w:t>
      </w:r>
      <w:r>
        <w:rPr>
          <w:rFonts w:hint="eastAsia"/>
          <w:color w:val="auto"/>
          <w:sz w:val="21"/>
          <w:szCs w:val="21"/>
          <w:highlight w:val="none"/>
          <w:lang w:eastAsia="zh-CN"/>
        </w:rPr>
        <w:t>采购人</w:t>
      </w:r>
      <w:r>
        <w:rPr>
          <w:rFonts w:hint="eastAsia"/>
          <w:color w:val="auto"/>
          <w:sz w:val="21"/>
          <w:szCs w:val="21"/>
          <w:highlight w:val="none"/>
        </w:rPr>
        <w:t>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3FB9166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1C38217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34DC04B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1C724D9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w:t>
      </w:r>
      <w:r>
        <w:rPr>
          <w:rFonts w:hint="eastAsia"/>
          <w:color w:val="auto"/>
          <w:sz w:val="21"/>
          <w:szCs w:val="21"/>
          <w:highlight w:val="none"/>
          <w:lang w:eastAsia="zh-CN"/>
        </w:rPr>
        <w:t>采购人</w:t>
      </w:r>
      <w:r>
        <w:rPr>
          <w:rFonts w:hint="eastAsia"/>
          <w:color w:val="auto"/>
          <w:sz w:val="21"/>
          <w:szCs w:val="21"/>
          <w:highlight w:val="none"/>
        </w:rPr>
        <w:t>、</w:t>
      </w:r>
      <w:r>
        <w:rPr>
          <w:rFonts w:hint="eastAsia"/>
          <w:color w:val="auto"/>
          <w:sz w:val="21"/>
          <w:szCs w:val="21"/>
          <w:highlight w:val="none"/>
          <w:lang w:eastAsia="zh-CN"/>
        </w:rPr>
        <w:t>采购代理机构</w:t>
      </w:r>
      <w:r>
        <w:rPr>
          <w:rFonts w:hint="eastAsia"/>
          <w:color w:val="auto"/>
          <w:sz w:val="21"/>
          <w:szCs w:val="21"/>
          <w:highlight w:val="none"/>
        </w:rPr>
        <w:t>的投标人，在此保证所提交的所有文件和全部说明是真实的和正确的。</w:t>
      </w:r>
    </w:p>
    <w:p w14:paraId="5AAAD59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w:t>
      </w:r>
      <w:r>
        <w:rPr>
          <w:rFonts w:hint="eastAsia"/>
          <w:color w:val="auto"/>
          <w:sz w:val="21"/>
          <w:szCs w:val="21"/>
          <w:highlight w:val="none"/>
          <w:lang w:eastAsia="zh-CN"/>
        </w:rPr>
        <w:t>采购人</w:t>
      </w:r>
      <w:r>
        <w:rPr>
          <w:rFonts w:hint="eastAsia"/>
          <w:color w:val="auto"/>
          <w:sz w:val="21"/>
          <w:szCs w:val="21"/>
          <w:highlight w:val="none"/>
        </w:rPr>
        <w:t>在中国使用我方提供的货物时，如有第三方提出侵犯其知识产权主张的，责任由我方承担。</w:t>
      </w:r>
    </w:p>
    <w:p w14:paraId="6611554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w:t>
      </w:r>
      <w:r>
        <w:rPr>
          <w:rFonts w:hint="eastAsia"/>
          <w:color w:val="auto"/>
          <w:sz w:val="21"/>
          <w:szCs w:val="21"/>
          <w:highlight w:val="none"/>
          <w:lang w:eastAsia="zh-CN"/>
        </w:rPr>
        <w:t>采购人</w:t>
      </w:r>
      <w:r>
        <w:rPr>
          <w:rFonts w:hint="eastAsia"/>
          <w:color w:val="auto"/>
          <w:sz w:val="21"/>
          <w:szCs w:val="21"/>
          <w:highlight w:val="none"/>
        </w:rPr>
        <w:t>委托向贵方支付代理服务费，项目总报价已包含代理服务费，如果被确定为中标供应商，承诺向贵方足额支付。（若</w:t>
      </w:r>
      <w:r>
        <w:rPr>
          <w:rFonts w:hint="eastAsia"/>
          <w:color w:val="auto"/>
          <w:sz w:val="21"/>
          <w:szCs w:val="21"/>
          <w:highlight w:val="none"/>
          <w:lang w:eastAsia="zh-CN"/>
        </w:rPr>
        <w:t>采购人</w:t>
      </w:r>
      <w:r>
        <w:rPr>
          <w:rFonts w:hint="eastAsia"/>
          <w:color w:val="auto"/>
          <w:sz w:val="21"/>
          <w:szCs w:val="21"/>
          <w:highlight w:val="none"/>
        </w:rPr>
        <w:t>支付代理服务费，则此条不适用）</w:t>
      </w:r>
    </w:p>
    <w:p w14:paraId="78240BD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4AA72DE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A98BA4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30583B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7F0021C5">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58107A67">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4014197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6868EE3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251965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1FA9E32D">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AAC283C">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784DA8C2">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1B974EB1">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2760D569">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59A0731">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B4DF07D">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3AC61178">
      <w:pPr>
        <w:rPr>
          <w:color w:val="auto"/>
          <w:sz w:val="20"/>
          <w:szCs w:val="20"/>
          <w:highlight w:val="none"/>
        </w:rPr>
      </w:pPr>
      <w:r>
        <w:rPr>
          <w:color w:val="auto"/>
          <w:sz w:val="20"/>
          <w:szCs w:val="20"/>
          <w:highlight w:val="none"/>
        </w:rPr>
        <w:br w:type="page"/>
      </w:r>
    </w:p>
    <w:p w14:paraId="589908D5">
      <w:pPr>
        <w:rPr>
          <w:b/>
          <w:bCs/>
          <w:color w:val="auto"/>
          <w:sz w:val="24"/>
          <w:szCs w:val="32"/>
          <w:highlight w:val="none"/>
        </w:rPr>
      </w:pPr>
      <w:r>
        <w:rPr>
          <w:rFonts w:hint="eastAsia"/>
          <w:b/>
          <w:bCs/>
          <w:color w:val="auto"/>
          <w:sz w:val="24"/>
          <w:szCs w:val="32"/>
          <w:highlight w:val="none"/>
        </w:rPr>
        <w:t>格式二：</w:t>
      </w:r>
    </w:p>
    <w:p w14:paraId="408160F6">
      <w:pPr>
        <w:pStyle w:val="8"/>
        <w:rPr>
          <w:color w:val="auto"/>
          <w:highlight w:val="none"/>
          <w:lang w:val="en-US"/>
        </w:rPr>
      </w:pPr>
    </w:p>
    <w:p w14:paraId="06DBBD6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56270432">
      <w:pPr>
        <w:spacing w:line="360" w:lineRule="auto"/>
        <w:rPr>
          <w:color w:val="auto"/>
          <w:highlight w:val="none"/>
        </w:rPr>
      </w:pPr>
    </w:p>
    <w:p w14:paraId="37493F8E">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6B4224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8"/>
        <w:gridCol w:w="2134"/>
        <w:gridCol w:w="4380"/>
        <w:gridCol w:w="897"/>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0"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52"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570" w:type="pct"/>
            <w:tcBorders>
              <w:top w:val="single" w:color="auto" w:sz="4" w:space="0"/>
              <w:left w:val="single" w:color="auto" w:sz="4" w:space="0"/>
              <w:bottom w:val="single" w:color="auto" w:sz="4" w:space="0"/>
              <w:right w:val="single" w:color="auto" w:sz="4" w:space="0"/>
            </w:tcBorders>
            <w:vAlign w:val="center"/>
          </w:tcPr>
          <w:p w14:paraId="4A82BA0B">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投标下浮率（%）</w:t>
            </w:r>
          </w:p>
        </w:tc>
        <w:tc>
          <w:tcPr>
            <w:tcW w:w="526"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50"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52"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auto"/>
                <w:szCs w:val="21"/>
                <w:highlight w:val="none"/>
                <w:lang w:val="zh-CN"/>
              </w:rPr>
            </w:pPr>
          </w:p>
        </w:tc>
        <w:tc>
          <w:tcPr>
            <w:tcW w:w="2570" w:type="pct"/>
            <w:tcBorders>
              <w:top w:val="single" w:color="auto" w:sz="4" w:space="0"/>
              <w:left w:val="single" w:color="auto" w:sz="4" w:space="0"/>
              <w:bottom w:val="single" w:color="auto" w:sz="4" w:space="0"/>
              <w:right w:val="single" w:color="auto" w:sz="4" w:space="0"/>
            </w:tcBorders>
            <w:vAlign w:val="center"/>
          </w:tcPr>
          <w:p w14:paraId="748C7032">
            <w:pPr>
              <w:spacing w:line="360" w:lineRule="auto"/>
              <w:rPr>
                <w:rFonts w:hint="default" w:eastAsia="宋体"/>
                <w:color w:val="auto"/>
                <w:highlight w:val="none"/>
                <w:lang w:val="en-US" w:eastAsia="zh-CN"/>
              </w:rPr>
            </w:pPr>
            <w:r>
              <w:rPr>
                <w:rFonts w:hint="eastAsia"/>
                <w:color w:val="auto"/>
                <w:highlight w:val="none"/>
              </w:rPr>
              <w:t>小写：</w:t>
            </w:r>
          </w:p>
          <w:p w14:paraId="0466EC5E">
            <w:pPr>
              <w:spacing w:line="360" w:lineRule="auto"/>
              <w:rPr>
                <w:rFonts w:hint="eastAsia"/>
                <w:color w:val="auto"/>
                <w:highlight w:val="none"/>
              </w:rPr>
            </w:pPr>
            <w:r>
              <w:rPr>
                <w:rFonts w:hint="eastAsia"/>
                <w:color w:val="auto"/>
                <w:highlight w:val="none"/>
              </w:rPr>
              <w:t>大写：</w:t>
            </w:r>
          </w:p>
        </w:tc>
        <w:tc>
          <w:tcPr>
            <w:tcW w:w="526"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auto"/>
                <w:szCs w:val="21"/>
                <w:highlight w:val="none"/>
              </w:rPr>
            </w:pPr>
          </w:p>
          <w:p w14:paraId="259DED27">
            <w:pPr>
              <w:spacing w:line="360" w:lineRule="auto"/>
              <w:rPr>
                <w:rFonts w:ascii="宋体" w:hAnsi="宋体" w:cs="宋体"/>
                <w:color w:val="auto"/>
                <w:szCs w:val="21"/>
                <w:highlight w:val="none"/>
              </w:rPr>
            </w:pPr>
          </w:p>
        </w:tc>
      </w:tr>
    </w:tbl>
    <w:p w14:paraId="789CACF4">
      <w:pPr>
        <w:spacing w:line="360" w:lineRule="auto"/>
        <w:rPr>
          <w:rFonts w:ascii="宋体" w:hAnsi="宋体"/>
          <w:color w:val="auto"/>
          <w:szCs w:val="21"/>
          <w:highlight w:val="none"/>
        </w:rPr>
      </w:pPr>
    </w:p>
    <w:p w14:paraId="6580A78A">
      <w:pPr>
        <w:spacing w:line="360" w:lineRule="auto"/>
        <w:ind w:firstLine="359" w:firstLineChars="171"/>
        <w:rPr>
          <w:rFonts w:hint="eastAsia" w:ascii="宋体" w:hAnsi="宋体" w:eastAsia="宋体"/>
          <w:color w:val="auto"/>
          <w:szCs w:val="21"/>
          <w:highlight w:val="none"/>
        </w:rPr>
      </w:pPr>
    </w:p>
    <w:p w14:paraId="18E36188">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投标人代表签字：</w:t>
      </w:r>
    </w:p>
    <w:p w14:paraId="4A7A54E1">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投标人名称（盖章）：</w:t>
      </w:r>
    </w:p>
    <w:p w14:paraId="6A0E3BB7">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日期： 年   月   日</w:t>
      </w:r>
    </w:p>
    <w:p w14:paraId="2806EDF6">
      <w:pPr>
        <w:spacing w:line="360" w:lineRule="auto"/>
        <w:ind w:firstLine="359" w:firstLineChars="171"/>
        <w:rPr>
          <w:rFonts w:ascii="宋体" w:hAnsi="宋体"/>
          <w:color w:val="auto"/>
          <w:szCs w:val="21"/>
          <w:highlight w:val="none"/>
        </w:rPr>
      </w:pPr>
    </w:p>
    <w:p w14:paraId="1A0CA149">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129E27D4">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须用文字和数字两种方式表示的投标下浮率。</w:t>
      </w:r>
    </w:p>
    <w:p w14:paraId="22CCC3E3">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bookmarkStart w:id="227" w:name="_GoBack"/>
      <w:bookmarkEnd w:id="227"/>
    </w:p>
    <w:p w14:paraId="12FD0EAE">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1C93BBF3">
      <w:pPr>
        <w:rPr>
          <w:rFonts w:ascii="宋体" w:hAnsi="宋体" w:cs="宋体"/>
          <w:color w:val="auto"/>
          <w:szCs w:val="21"/>
          <w:highlight w:val="none"/>
        </w:rPr>
      </w:pPr>
      <w:r>
        <w:rPr>
          <w:rFonts w:hint="eastAsia" w:ascii="宋体" w:hAnsi="宋体" w:cs="宋体"/>
          <w:color w:val="auto"/>
          <w:szCs w:val="21"/>
          <w:highlight w:val="none"/>
        </w:rPr>
        <w:br w:type="page"/>
      </w:r>
    </w:p>
    <w:p w14:paraId="36B59D87">
      <w:pPr>
        <w:rPr>
          <w:b/>
          <w:bCs/>
          <w:color w:val="auto"/>
          <w:sz w:val="24"/>
          <w:szCs w:val="32"/>
          <w:highlight w:val="none"/>
        </w:rPr>
      </w:pPr>
      <w:r>
        <w:rPr>
          <w:rFonts w:hint="eastAsia"/>
          <w:b/>
          <w:bCs/>
          <w:color w:val="auto"/>
          <w:sz w:val="24"/>
          <w:szCs w:val="32"/>
          <w:highlight w:val="none"/>
        </w:rPr>
        <w:t>格式三：</w:t>
      </w:r>
    </w:p>
    <w:p w14:paraId="0EAD656B">
      <w:pPr>
        <w:jc w:val="center"/>
        <w:rPr>
          <w:b/>
          <w:bCs/>
          <w:color w:val="auto"/>
          <w:sz w:val="24"/>
          <w:szCs w:val="32"/>
          <w:highlight w:val="none"/>
        </w:rPr>
      </w:pPr>
      <w:r>
        <w:rPr>
          <w:rFonts w:hint="eastAsia"/>
          <w:b/>
          <w:bCs/>
          <w:color w:val="auto"/>
          <w:sz w:val="24"/>
          <w:szCs w:val="32"/>
          <w:highlight w:val="none"/>
        </w:rPr>
        <w:t>分项报价表</w:t>
      </w:r>
    </w:p>
    <w:p w14:paraId="4EEF0BD9">
      <w:pPr>
        <w:pStyle w:val="11"/>
        <w:spacing w:line="360" w:lineRule="auto"/>
        <w:jc w:val="right"/>
        <w:rPr>
          <w:rFonts w:hint="eastAsia"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20"/>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423A6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02FBEA7C">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772" w:type="dxa"/>
            <w:tcBorders>
              <w:tl2br w:val="nil"/>
              <w:tr2bl w:val="nil"/>
            </w:tcBorders>
            <w:vAlign w:val="center"/>
          </w:tcPr>
          <w:p w14:paraId="745BD843">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货物/服务名称</w:t>
            </w:r>
          </w:p>
        </w:tc>
        <w:tc>
          <w:tcPr>
            <w:tcW w:w="2059" w:type="dxa"/>
            <w:tcBorders>
              <w:tl2br w:val="nil"/>
              <w:tr2bl w:val="nil"/>
            </w:tcBorders>
            <w:vAlign w:val="center"/>
          </w:tcPr>
          <w:p w14:paraId="331CA6A8">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规格型号/服务内容</w:t>
            </w:r>
          </w:p>
        </w:tc>
        <w:tc>
          <w:tcPr>
            <w:tcW w:w="859" w:type="dxa"/>
            <w:tcBorders>
              <w:tl2br w:val="nil"/>
              <w:tr2bl w:val="nil"/>
            </w:tcBorders>
            <w:vAlign w:val="center"/>
          </w:tcPr>
          <w:p w14:paraId="18D9773B">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996" w:type="dxa"/>
            <w:tcBorders>
              <w:tl2br w:val="nil"/>
              <w:tr2bl w:val="nil"/>
            </w:tcBorders>
            <w:vAlign w:val="center"/>
          </w:tcPr>
          <w:p w14:paraId="290F0482">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076" w:type="dxa"/>
            <w:tcBorders>
              <w:tl2br w:val="nil"/>
              <w:tr2bl w:val="nil"/>
            </w:tcBorders>
            <w:vAlign w:val="center"/>
          </w:tcPr>
          <w:p w14:paraId="131B4DE8">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w:t>
            </w:r>
          </w:p>
        </w:tc>
        <w:tc>
          <w:tcPr>
            <w:tcW w:w="1078" w:type="dxa"/>
            <w:tcBorders>
              <w:tl2br w:val="nil"/>
              <w:tr2bl w:val="nil"/>
            </w:tcBorders>
            <w:vAlign w:val="center"/>
          </w:tcPr>
          <w:p w14:paraId="39986D06">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14:paraId="49F89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A05A941">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C945FBE">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7952C5B">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D966B6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233F495">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68E5738">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785B11C">
            <w:pPr>
              <w:spacing w:before="100" w:beforeAutospacing="1" w:after="100" w:afterAutospacing="1"/>
              <w:jc w:val="center"/>
              <w:rPr>
                <w:rFonts w:ascii="宋体" w:hAnsi="宋体"/>
                <w:color w:val="auto"/>
                <w:szCs w:val="21"/>
                <w:highlight w:val="none"/>
              </w:rPr>
            </w:pPr>
          </w:p>
        </w:tc>
      </w:tr>
      <w:tr w14:paraId="59DF8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6450C16">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2A1E22F">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16FB3C5">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06507E9">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043171F">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7DEB7FE5">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D7BD24A">
            <w:pPr>
              <w:spacing w:before="100" w:beforeAutospacing="1" w:after="100" w:afterAutospacing="1"/>
              <w:jc w:val="center"/>
              <w:rPr>
                <w:rFonts w:ascii="宋体" w:hAnsi="宋体"/>
                <w:color w:val="auto"/>
                <w:szCs w:val="21"/>
                <w:highlight w:val="none"/>
              </w:rPr>
            </w:pPr>
          </w:p>
        </w:tc>
      </w:tr>
      <w:tr w14:paraId="6F5CE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768DB61">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19CADD6">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3E0F607">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90C5D09">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7AD77A5">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5DC7438E">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051E936">
            <w:pPr>
              <w:spacing w:before="100" w:beforeAutospacing="1" w:after="100" w:afterAutospacing="1"/>
              <w:jc w:val="center"/>
              <w:rPr>
                <w:rFonts w:ascii="宋体" w:hAnsi="宋体"/>
                <w:color w:val="auto"/>
                <w:szCs w:val="21"/>
                <w:highlight w:val="none"/>
              </w:rPr>
            </w:pPr>
          </w:p>
        </w:tc>
      </w:tr>
      <w:tr w14:paraId="25EC9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4BA0462">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0E1F2D2">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0308832">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133B442">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ADB03FD">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7CF79E59">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13AFDD96">
            <w:pPr>
              <w:spacing w:before="100" w:beforeAutospacing="1" w:after="100" w:afterAutospacing="1"/>
              <w:jc w:val="center"/>
              <w:rPr>
                <w:rFonts w:ascii="宋体" w:hAnsi="宋体"/>
                <w:color w:val="auto"/>
                <w:szCs w:val="21"/>
                <w:highlight w:val="none"/>
              </w:rPr>
            </w:pPr>
          </w:p>
        </w:tc>
      </w:tr>
      <w:tr w14:paraId="16B25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7C09789">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324180AB">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09F17D01">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5823F164">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158705EE">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4CBF1D2D">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D492375">
            <w:pPr>
              <w:spacing w:before="100" w:beforeAutospacing="1" w:after="100" w:afterAutospacing="1"/>
              <w:jc w:val="center"/>
              <w:rPr>
                <w:rFonts w:ascii="宋体" w:hAnsi="宋体"/>
                <w:color w:val="auto"/>
                <w:szCs w:val="21"/>
                <w:highlight w:val="none"/>
              </w:rPr>
            </w:pPr>
          </w:p>
        </w:tc>
      </w:tr>
      <w:tr w14:paraId="61AB5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3A62DC3">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1445DA0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16822624">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52859F1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7D6DDE4D">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F288B35">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581B96AF">
            <w:pPr>
              <w:spacing w:before="100" w:beforeAutospacing="1" w:after="100" w:afterAutospacing="1"/>
              <w:jc w:val="center"/>
              <w:rPr>
                <w:rFonts w:ascii="宋体" w:hAnsi="宋体"/>
                <w:color w:val="auto"/>
                <w:szCs w:val="21"/>
                <w:highlight w:val="none"/>
              </w:rPr>
            </w:pPr>
          </w:p>
        </w:tc>
      </w:tr>
      <w:tr w14:paraId="4C742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EE1EE7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2CD2728">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0F437C1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B950DC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A424260">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724E7BD3">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947C6E0">
            <w:pPr>
              <w:spacing w:before="100" w:beforeAutospacing="1" w:after="100" w:afterAutospacing="1"/>
              <w:jc w:val="center"/>
              <w:rPr>
                <w:rFonts w:ascii="宋体" w:hAnsi="宋体"/>
                <w:color w:val="auto"/>
                <w:szCs w:val="21"/>
                <w:highlight w:val="none"/>
              </w:rPr>
            </w:pPr>
          </w:p>
        </w:tc>
      </w:tr>
      <w:tr w14:paraId="730BE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3E0FF64">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12D74398">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5CCB2E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FD0ADA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9DD0FE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473CBAF">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943F79C">
            <w:pPr>
              <w:spacing w:before="100" w:beforeAutospacing="1" w:after="100" w:afterAutospacing="1"/>
              <w:jc w:val="center"/>
              <w:rPr>
                <w:rFonts w:ascii="宋体" w:hAnsi="宋体"/>
                <w:color w:val="auto"/>
                <w:szCs w:val="21"/>
                <w:highlight w:val="none"/>
              </w:rPr>
            </w:pPr>
          </w:p>
        </w:tc>
      </w:tr>
      <w:tr w14:paraId="53596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F7EE8B4">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41C1F4B">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C063BE2">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F7E6A46">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312370BA">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696FEA69">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5301F898">
            <w:pPr>
              <w:spacing w:before="100" w:beforeAutospacing="1" w:after="100" w:afterAutospacing="1"/>
              <w:jc w:val="center"/>
              <w:rPr>
                <w:rFonts w:ascii="宋体" w:hAnsi="宋体"/>
                <w:color w:val="auto"/>
                <w:szCs w:val="21"/>
                <w:highlight w:val="none"/>
              </w:rPr>
            </w:pPr>
          </w:p>
        </w:tc>
      </w:tr>
      <w:tr w14:paraId="4AF12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7B0C2E94">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合计总价</w:t>
            </w:r>
          </w:p>
        </w:tc>
        <w:tc>
          <w:tcPr>
            <w:tcW w:w="2154" w:type="dxa"/>
            <w:gridSpan w:val="2"/>
            <w:tcBorders>
              <w:tl2br w:val="nil"/>
              <w:tr2bl w:val="nil"/>
            </w:tcBorders>
            <w:vAlign w:val="center"/>
          </w:tcPr>
          <w:p w14:paraId="180754D3">
            <w:pPr>
              <w:spacing w:before="100" w:beforeAutospacing="1" w:after="100" w:afterAutospacing="1"/>
              <w:jc w:val="center"/>
              <w:rPr>
                <w:rFonts w:ascii="宋体" w:hAnsi="宋体"/>
                <w:color w:val="auto"/>
                <w:szCs w:val="21"/>
                <w:highlight w:val="none"/>
              </w:rPr>
            </w:pPr>
          </w:p>
        </w:tc>
      </w:tr>
    </w:tbl>
    <w:p w14:paraId="1C09CF03">
      <w:pPr>
        <w:pStyle w:val="11"/>
        <w:spacing w:line="360" w:lineRule="auto"/>
        <w:jc w:val="right"/>
        <w:rPr>
          <w:rFonts w:hint="eastAsia" w:hAnsi="宋体" w:eastAsia="宋体" w:cs="宋体"/>
          <w:color w:val="auto"/>
          <w:szCs w:val="21"/>
          <w:highlight w:val="none"/>
        </w:rPr>
      </w:pPr>
    </w:p>
    <w:p w14:paraId="4DF81FF4">
      <w:pPr>
        <w:spacing w:line="360" w:lineRule="auto"/>
        <w:rPr>
          <w:rFonts w:ascii="宋体" w:hAnsi="宋体" w:cs="宋体"/>
          <w:color w:val="auto"/>
          <w:szCs w:val="21"/>
          <w:highlight w:val="none"/>
        </w:rPr>
      </w:pPr>
      <w:r>
        <w:rPr>
          <w:rFonts w:hint="eastAsia" w:ascii="宋体" w:hAnsi="宋体" w:cs="宋体"/>
          <w:color w:val="auto"/>
          <w:szCs w:val="21"/>
          <w:highlight w:val="none"/>
        </w:rPr>
        <w:t>注：1.投标人的报价应包括但不限于上述内容，应列明“用户需求书”所要求提供的所有服务（货物）的价格明细。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auto"/>
          <w:szCs w:val="21"/>
          <w:highlight w:val="none"/>
        </w:rPr>
      </w:pPr>
    </w:p>
    <w:p w14:paraId="76CAB120">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投标人代表签字：</w:t>
      </w:r>
    </w:p>
    <w:p w14:paraId="6FDFF162">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投标人名称（盖章）：</w:t>
      </w:r>
    </w:p>
    <w:p w14:paraId="27EE5B55">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日期： 年 月 日</w:t>
      </w:r>
    </w:p>
    <w:p w14:paraId="4107F440">
      <w:pPr>
        <w:rPr>
          <w:color w:val="auto"/>
          <w:sz w:val="20"/>
          <w:szCs w:val="20"/>
          <w:highlight w:val="none"/>
        </w:rPr>
      </w:pPr>
      <w:r>
        <w:rPr>
          <w:color w:val="auto"/>
          <w:sz w:val="20"/>
          <w:szCs w:val="20"/>
          <w:highlight w:val="none"/>
        </w:rPr>
        <w:br w:type="page"/>
      </w:r>
    </w:p>
    <w:p w14:paraId="202E71EA">
      <w:pPr>
        <w:pStyle w:val="8"/>
        <w:rPr>
          <w:b/>
          <w:bCs/>
          <w:color w:val="auto"/>
          <w:highlight w:val="none"/>
          <w:lang w:val="en-US"/>
        </w:rPr>
      </w:pPr>
      <w:r>
        <w:rPr>
          <w:rFonts w:hint="eastAsia"/>
          <w:b/>
          <w:bCs/>
          <w:color w:val="auto"/>
          <w:highlight w:val="none"/>
          <w:lang w:val="en-US"/>
        </w:rPr>
        <w:t>格式四：</w:t>
      </w:r>
    </w:p>
    <w:p w14:paraId="4927DC9B">
      <w:pPr>
        <w:pStyle w:val="8"/>
        <w:jc w:val="center"/>
        <w:rPr>
          <w:b/>
          <w:bCs/>
          <w:color w:val="auto"/>
          <w:highlight w:val="none"/>
          <w:lang w:val="en-US"/>
        </w:rPr>
      </w:pPr>
      <w:bookmarkStart w:id="191" w:name="_Toc23039"/>
      <w:bookmarkStart w:id="192" w:name="_Toc24178"/>
      <w:r>
        <w:rPr>
          <w:b/>
          <w:bCs/>
          <w:color w:val="auto"/>
          <w:highlight w:val="none"/>
          <w:lang w:val="en-US"/>
        </w:rPr>
        <w:t>法定代表人证明书</w:t>
      </w:r>
      <w:bookmarkEnd w:id="191"/>
      <w:bookmarkEnd w:id="192"/>
    </w:p>
    <w:p w14:paraId="018CD087">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8360E14">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189D2F1B">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595C4C4">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4D02B390">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E0512B9">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0FB0A8D2">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15A8E2DE">
      <w:pPr>
        <w:pStyle w:val="8"/>
        <w:tabs>
          <w:tab w:val="left" w:pos="3693"/>
        </w:tabs>
        <w:spacing w:line="242" w:lineRule="exact"/>
        <w:ind w:right="104"/>
        <w:jc w:val="right"/>
        <w:rPr>
          <w:color w:val="auto"/>
          <w:sz w:val="21"/>
          <w:szCs w:val="21"/>
          <w:highlight w:val="none"/>
        </w:rPr>
      </w:pPr>
    </w:p>
    <w:p w14:paraId="7A1D2945">
      <w:pPr>
        <w:pStyle w:val="8"/>
        <w:tabs>
          <w:tab w:val="left" w:pos="3693"/>
        </w:tabs>
        <w:spacing w:line="242" w:lineRule="exact"/>
        <w:ind w:right="104"/>
        <w:jc w:val="right"/>
        <w:rPr>
          <w:color w:val="auto"/>
          <w:sz w:val="21"/>
          <w:szCs w:val="21"/>
          <w:highlight w:val="none"/>
        </w:rPr>
      </w:pPr>
    </w:p>
    <w:p w14:paraId="6DF24FBF">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1719490E">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EC57C60">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834D87">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F7FA5EB">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65EB09D0">
      <w:pPr>
        <w:pStyle w:val="8"/>
        <w:rPr>
          <w:color w:val="auto"/>
          <w:highlight w:val="none"/>
          <w:lang w:val="en-US"/>
        </w:rPr>
      </w:pPr>
    </w:p>
    <w:p w14:paraId="61697ADE">
      <w:pPr>
        <w:rPr>
          <w:color w:val="auto"/>
          <w:highlight w:val="none"/>
        </w:rPr>
      </w:pPr>
    </w:p>
    <w:p w14:paraId="71DB47C8">
      <w:pPr>
        <w:pStyle w:val="8"/>
        <w:rPr>
          <w:color w:val="auto"/>
          <w:highlight w:val="none"/>
          <w:lang w:val="en-US"/>
        </w:rPr>
      </w:pPr>
    </w:p>
    <w:p w14:paraId="13E078E4">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63B7508">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435394D6">
      <w:pPr>
        <w:rPr>
          <w:color w:val="auto"/>
          <w:highlight w:val="none"/>
        </w:rPr>
      </w:pPr>
      <w:r>
        <w:rPr>
          <w:rFonts w:hint="eastAsia"/>
          <w:color w:val="auto"/>
          <w:highlight w:val="none"/>
        </w:rPr>
        <w:br w:type="page"/>
      </w:r>
    </w:p>
    <w:p w14:paraId="6AE81EEF">
      <w:pPr>
        <w:pStyle w:val="8"/>
        <w:rPr>
          <w:b/>
          <w:bCs/>
          <w:color w:val="auto"/>
          <w:highlight w:val="none"/>
          <w:lang w:val="en-US"/>
        </w:rPr>
      </w:pPr>
      <w:r>
        <w:rPr>
          <w:rFonts w:hint="eastAsia"/>
          <w:b/>
          <w:bCs/>
          <w:color w:val="auto"/>
          <w:highlight w:val="none"/>
          <w:lang w:val="en-US"/>
        </w:rPr>
        <w:t>格式五：</w:t>
      </w:r>
    </w:p>
    <w:p w14:paraId="49D6B8B4">
      <w:pPr>
        <w:jc w:val="center"/>
        <w:rPr>
          <w:b/>
          <w:bCs/>
          <w:color w:val="auto"/>
          <w:sz w:val="24"/>
          <w:szCs w:val="32"/>
          <w:highlight w:val="none"/>
        </w:rPr>
      </w:pPr>
      <w:r>
        <w:rPr>
          <w:b/>
          <w:bCs/>
          <w:color w:val="auto"/>
          <w:sz w:val="24"/>
          <w:szCs w:val="32"/>
          <w:highlight w:val="none"/>
        </w:rPr>
        <w:t>法定代表人授权书</w:t>
      </w:r>
    </w:p>
    <w:p w14:paraId="6CBC4D9B">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6AB9D9B1">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6954F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5F52A21F">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6C5227A3">
      <w:pPr>
        <w:pStyle w:val="8"/>
        <w:tabs>
          <w:tab w:val="left" w:pos="10713"/>
        </w:tabs>
        <w:spacing w:before="0" w:line="360" w:lineRule="auto"/>
        <w:ind w:left="0"/>
        <w:jc w:val="right"/>
        <w:rPr>
          <w:color w:val="auto"/>
          <w:sz w:val="21"/>
          <w:szCs w:val="21"/>
          <w:highlight w:val="none"/>
        </w:rPr>
      </w:pPr>
    </w:p>
    <w:p w14:paraId="43CB2B00">
      <w:pPr>
        <w:pStyle w:val="8"/>
        <w:tabs>
          <w:tab w:val="left" w:pos="10713"/>
        </w:tabs>
        <w:spacing w:before="0" w:line="360" w:lineRule="auto"/>
        <w:ind w:left="0"/>
        <w:jc w:val="right"/>
        <w:rPr>
          <w:color w:val="auto"/>
          <w:sz w:val="21"/>
          <w:szCs w:val="21"/>
          <w:highlight w:val="none"/>
        </w:rPr>
      </w:pPr>
    </w:p>
    <w:p w14:paraId="7D6A685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686B82F4">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57BEB66">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22049934">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9015DE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009115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412B023">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F91AF4">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8C97B3">
      <w:pPr>
        <w:pStyle w:val="8"/>
        <w:tabs>
          <w:tab w:val="left" w:pos="2349"/>
        </w:tabs>
        <w:spacing w:before="0" w:line="480" w:lineRule="auto"/>
        <w:ind w:left="0"/>
        <w:rPr>
          <w:color w:val="auto"/>
          <w:sz w:val="21"/>
          <w:szCs w:val="21"/>
          <w:highlight w:val="none"/>
          <w:lang w:val="en-US"/>
        </w:rPr>
      </w:pPr>
    </w:p>
    <w:p w14:paraId="0BFC6749">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851CA4A">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10B1371">
      <w:pPr>
        <w:pStyle w:val="8"/>
        <w:tabs>
          <w:tab w:val="left" w:pos="2349"/>
        </w:tabs>
        <w:spacing w:before="0" w:line="480" w:lineRule="auto"/>
        <w:ind w:left="0"/>
        <w:rPr>
          <w:color w:val="auto"/>
          <w:sz w:val="20"/>
          <w:szCs w:val="20"/>
          <w:highlight w:val="none"/>
          <w:lang w:val="en-US"/>
        </w:rPr>
      </w:pPr>
    </w:p>
    <w:p w14:paraId="202CD043">
      <w:pPr>
        <w:rPr>
          <w:b/>
          <w:bCs/>
          <w:color w:val="auto"/>
          <w:sz w:val="24"/>
          <w:highlight w:val="none"/>
        </w:rPr>
      </w:pPr>
      <w:r>
        <w:rPr>
          <w:rFonts w:hint="eastAsia"/>
          <w:b/>
          <w:bCs/>
          <w:color w:val="auto"/>
          <w:sz w:val="24"/>
          <w:highlight w:val="none"/>
        </w:rPr>
        <w:br w:type="page"/>
      </w:r>
    </w:p>
    <w:p w14:paraId="0B4C7C8C">
      <w:pPr>
        <w:rPr>
          <w:b/>
          <w:bCs/>
          <w:color w:val="auto"/>
          <w:sz w:val="24"/>
          <w:highlight w:val="none"/>
        </w:rPr>
      </w:pPr>
      <w:r>
        <w:rPr>
          <w:rFonts w:hint="eastAsia"/>
          <w:b/>
          <w:bCs/>
          <w:color w:val="auto"/>
          <w:sz w:val="24"/>
          <w:highlight w:val="none"/>
        </w:rPr>
        <w:t>格式六：</w:t>
      </w:r>
    </w:p>
    <w:p w14:paraId="6FB2C847">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14:paraId="4B2C2B66">
      <w:pPr>
        <w:jc w:val="center"/>
        <w:rPr>
          <w:b/>
          <w:bCs/>
          <w:color w:val="auto"/>
          <w:sz w:val="24"/>
          <w:highlight w:val="none"/>
        </w:rPr>
      </w:pPr>
      <w:r>
        <w:rPr>
          <w:rFonts w:hint="eastAsia"/>
          <w:b/>
          <w:bCs/>
          <w:color w:val="auto"/>
          <w:sz w:val="24"/>
          <w:highlight w:val="none"/>
        </w:rPr>
        <w:t>投标保证金</w:t>
      </w:r>
    </w:p>
    <w:p w14:paraId="777EC252">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75D333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AE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14:paraId="49A1A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904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6C78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14:paraId="731D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14:paraId="1787B6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C28C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3F277BC0">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6E25251A">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3724C1E9">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65503E6C">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095E7B6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7A7E85B2">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59463B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2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5E78E1D6">
      <w:pPr>
        <w:rPr>
          <w:color w:val="auto"/>
          <w:highlight w:val="none"/>
        </w:rPr>
      </w:pPr>
      <w:r>
        <w:rPr>
          <w:rFonts w:hint="eastAsia"/>
          <w:color w:val="auto"/>
          <w:highlight w:val="none"/>
        </w:rPr>
        <w:br w:type="page"/>
      </w:r>
    </w:p>
    <w:p w14:paraId="2FDDF3A6">
      <w:pPr>
        <w:rPr>
          <w:b/>
          <w:bCs/>
          <w:color w:val="auto"/>
          <w:sz w:val="24"/>
          <w:szCs w:val="32"/>
          <w:highlight w:val="none"/>
        </w:rPr>
      </w:pPr>
      <w:r>
        <w:rPr>
          <w:rFonts w:hint="eastAsia"/>
          <w:b/>
          <w:bCs/>
          <w:color w:val="auto"/>
          <w:sz w:val="24"/>
          <w:szCs w:val="32"/>
          <w:highlight w:val="none"/>
        </w:rPr>
        <w:t>格式七：</w:t>
      </w:r>
    </w:p>
    <w:p w14:paraId="56E881AA">
      <w:pPr>
        <w:pStyle w:val="8"/>
        <w:jc w:val="center"/>
        <w:rPr>
          <w:b/>
          <w:bCs/>
          <w:color w:val="auto"/>
          <w:highlight w:val="none"/>
          <w:lang w:val="en-US"/>
        </w:rPr>
      </w:pPr>
      <w:r>
        <w:rPr>
          <w:b/>
          <w:bCs/>
          <w:color w:val="auto"/>
          <w:highlight w:val="none"/>
          <w:lang w:val="en-US"/>
        </w:rPr>
        <w:t>提供具有独立承担民事责任的能力的证明材料</w:t>
      </w:r>
    </w:p>
    <w:p w14:paraId="270BE4B7">
      <w:pPr>
        <w:ind w:firstLine="420" w:firstLineChars="200"/>
        <w:rPr>
          <w:color w:val="auto"/>
          <w:highlight w:val="none"/>
        </w:rPr>
      </w:pPr>
    </w:p>
    <w:p w14:paraId="19BCB66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338551F6">
      <w:pPr>
        <w:rPr>
          <w:b/>
          <w:bCs/>
          <w:color w:val="auto"/>
          <w:highlight w:val="none"/>
        </w:rPr>
      </w:pPr>
      <w:r>
        <w:rPr>
          <w:b/>
          <w:bCs/>
          <w:color w:val="auto"/>
          <w:highlight w:val="none"/>
        </w:rPr>
        <w:br w:type="page"/>
      </w:r>
    </w:p>
    <w:p w14:paraId="2F47944C">
      <w:pPr>
        <w:rPr>
          <w:b/>
          <w:bCs/>
          <w:color w:val="auto"/>
          <w:sz w:val="24"/>
          <w:szCs w:val="32"/>
          <w:highlight w:val="none"/>
        </w:rPr>
      </w:pPr>
      <w:r>
        <w:rPr>
          <w:rFonts w:hint="eastAsia"/>
          <w:b/>
          <w:bCs/>
          <w:color w:val="auto"/>
          <w:sz w:val="24"/>
          <w:szCs w:val="32"/>
          <w:highlight w:val="none"/>
        </w:rPr>
        <w:t>格式八：</w:t>
      </w:r>
    </w:p>
    <w:p w14:paraId="114721E6">
      <w:pPr>
        <w:pStyle w:val="8"/>
        <w:jc w:val="center"/>
        <w:rPr>
          <w:b/>
          <w:color w:val="auto"/>
          <w:highlight w:val="none"/>
        </w:rPr>
      </w:pPr>
      <w:r>
        <w:rPr>
          <w:b/>
          <w:color w:val="auto"/>
          <w:highlight w:val="none"/>
        </w:rPr>
        <w:t>资格性审查要求的其他资质证明文件</w:t>
      </w:r>
    </w:p>
    <w:p w14:paraId="5144A42D">
      <w:pPr>
        <w:widowControl/>
        <w:spacing w:line="360" w:lineRule="auto"/>
        <w:rPr>
          <w:rFonts w:ascii="宋体" w:hAnsi="宋体"/>
          <w:color w:val="auto"/>
          <w:szCs w:val="21"/>
          <w:highlight w:val="none"/>
        </w:rPr>
      </w:pPr>
    </w:p>
    <w:p w14:paraId="62CA0D07">
      <w:pPr>
        <w:widowControl/>
        <w:spacing w:line="360" w:lineRule="auto"/>
        <w:rPr>
          <w:rFonts w:hint="eastAsia"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0F2D5EC">
      <w:pPr>
        <w:widowControl/>
        <w:spacing w:line="360" w:lineRule="auto"/>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724E1A0F">
      <w:pPr>
        <w:widowControl/>
        <w:spacing w:line="360" w:lineRule="auto"/>
        <w:rPr>
          <w:rFonts w:hint="eastAsia" w:ascii="宋体" w:hAnsi="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48646537">
      <w:pPr>
        <w:rPr>
          <w:rFonts w:hint="eastAsia"/>
          <w:color w:val="auto"/>
          <w:sz w:val="20"/>
          <w:highlight w:val="none"/>
          <w:lang w:eastAsia="zh-CN"/>
        </w:rPr>
      </w:pPr>
      <w:r>
        <w:rPr>
          <w:rFonts w:hint="eastAsia"/>
          <w:color w:val="auto"/>
          <w:sz w:val="20"/>
          <w:highlight w:val="none"/>
          <w:lang w:eastAsia="zh-CN"/>
        </w:rPr>
        <w:br w:type="page"/>
      </w:r>
    </w:p>
    <w:p w14:paraId="1C9C5781">
      <w:pPr>
        <w:pStyle w:val="8"/>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6C36CC88">
      <w:pPr>
        <w:pStyle w:val="8"/>
        <w:rPr>
          <w:color w:val="auto"/>
          <w:highlight w:val="none"/>
        </w:rPr>
      </w:pPr>
    </w:p>
    <w:p w14:paraId="27E31DF9">
      <w:pPr>
        <w:rPr>
          <w:color w:val="auto"/>
          <w:sz w:val="20"/>
          <w:highlight w:val="none"/>
        </w:rPr>
      </w:pPr>
      <w:r>
        <w:rPr>
          <w:rFonts w:hint="eastAsia"/>
          <w:color w:val="auto"/>
          <w:sz w:val="20"/>
          <w:highlight w:val="none"/>
        </w:rPr>
        <w:br w:type="page"/>
      </w:r>
    </w:p>
    <w:p w14:paraId="1B11C473">
      <w:pPr>
        <w:pStyle w:val="8"/>
        <w:rPr>
          <w:color w:val="auto"/>
          <w:highlight w:val="none"/>
        </w:rPr>
      </w:pPr>
      <w:r>
        <w:rPr>
          <w:rFonts w:hint="eastAsia"/>
          <w:b/>
          <w:bCs/>
          <w:color w:val="auto"/>
          <w:highlight w:val="none"/>
        </w:rPr>
        <w:t>格式九：</w:t>
      </w:r>
    </w:p>
    <w:p w14:paraId="49997159">
      <w:pPr>
        <w:rPr>
          <w:color w:val="auto"/>
          <w:highlight w:val="none"/>
        </w:rPr>
      </w:pPr>
    </w:p>
    <w:p w14:paraId="20584564">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4F8CE51">
      <w:pPr>
        <w:rPr>
          <w:color w:val="auto"/>
          <w:highlight w:val="none"/>
        </w:rPr>
      </w:pPr>
    </w:p>
    <w:p w14:paraId="0D643F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5FBF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auto"/>
          <w:szCs w:val="21"/>
          <w:highlight w:val="none"/>
        </w:rPr>
      </w:pPr>
    </w:p>
    <w:p w14:paraId="56B72BF0">
      <w:pPr>
        <w:spacing w:line="360" w:lineRule="auto"/>
        <w:rPr>
          <w:rFonts w:ascii="宋体" w:hAnsi="宋体" w:cs="宋体"/>
          <w:color w:val="auto"/>
          <w:szCs w:val="21"/>
          <w:highlight w:val="none"/>
        </w:rPr>
      </w:pPr>
    </w:p>
    <w:p w14:paraId="151D2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2D87612">
      <w:pPr>
        <w:spacing w:line="360" w:lineRule="auto"/>
        <w:rPr>
          <w:rFonts w:ascii="宋体" w:hAnsi="宋体" w:cs="宋体"/>
          <w:color w:val="auto"/>
          <w:szCs w:val="21"/>
          <w:highlight w:val="none"/>
        </w:rPr>
      </w:pPr>
    </w:p>
    <w:p w14:paraId="69D6D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805DB48">
      <w:pPr>
        <w:rPr>
          <w:color w:val="auto"/>
          <w:highlight w:val="none"/>
        </w:rPr>
      </w:pPr>
      <w:r>
        <w:rPr>
          <w:color w:val="auto"/>
          <w:highlight w:val="none"/>
        </w:rPr>
        <w:br w:type="page"/>
      </w:r>
    </w:p>
    <w:p w14:paraId="3188D0B9">
      <w:pPr>
        <w:rPr>
          <w:b/>
          <w:bCs/>
          <w:color w:val="auto"/>
          <w:sz w:val="24"/>
          <w:szCs w:val="32"/>
          <w:highlight w:val="none"/>
        </w:rPr>
      </w:pPr>
      <w:r>
        <w:rPr>
          <w:rFonts w:hint="eastAsia"/>
          <w:b/>
          <w:bCs/>
          <w:color w:val="auto"/>
          <w:sz w:val="24"/>
          <w:szCs w:val="32"/>
          <w:highlight w:val="none"/>
        </w:rPr>
        <w:t>格式十：</w:t>
      </w:r>
    </w:p>
    <w:p w14:paraId="177CACEC">
      <w:pPr>
        <w:pStyle w:val="8"/>
        <w:jc w:val="center"/>
        <w:rPr>
          <w:b/>
          <w:bCs/>
          <w:color w:val="auto"/>
          <w:highlight w:val="none"/>
          <w:lang w:val="en-US"/>
        </w:rPr>
      </w:pPr>
      <w:r>
        <w:rPr>
          <w:b/>
          <w:bCs/>
          <w:color w:val="auto"/>
          <w:highlight w:val="none"/>
          <w:lang w:val="en-US"/>
        </w:rPr>
        <w:t>投标人业绩情况表</w:t>
      </w:r>
    </w:p>
    <w:p w14:paraId="4BE69098">
      <w:pPr>
        <w:pStyle w:val="8"/>
        <w:spacing w:before="2" w:after="1"/>
        <w:rPr>
          <w:b/>
          <w:color w:val="auto"/>
          <w:sz w:val="17"/>
          <w:highlight w:val="none"/>
        </w:rPr>
      </w:pP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9A1D415">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786BC8F1">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58EF315A">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06909C49">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1D16326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882BBE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105177A">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BC5F02C">
            <w:pPr>
              <w:pStyle w:val="30"/>
              <w:spacing w:line="360" w:lineRule="auto"/>
              <w:rPr>
                <w:rFonts w:ascii="宋体" w:hAnsi="宋体" w:cs="宋体"/>
                <w:color w:val="auto"/>
                <w:szCs w:val="21"/>
                <w:highlight w:val="none"/>
              </w:rPr>
            </w:pPr>
          </w:p>
        </w:tc>
        <w:tc>
          <w:tcPr>
            <w:tcW w:w="1553" w:type="pct"/>
            <w:shd w:val="clear" w:color="auto" w:fill="FFFFFF" w:themeFill="background1"/>
          </w:tcPr>
          <w:p w14:paraId="3B395296">
            <w:pPr>
              <w:pStyle w:val="30"/>
              <w:spacing w:line="360" w:lineRule="auto"/>
              <w:rPr>
                <w:rFonts w:ascii="宋体" w:hAnsi="宋体" w:cs="宋体"/>
                <w:color w:val="auto"/>
                <w:szCs w:val="21"/>
                <w:highlight w:val="none"/>
              </w:rPr>
            </w:pPr>
          </w:p>
        </w:tc>
        <w:tc>
          <w:tcPr>
            <w:tcW w:w="779" w:type="pct"/>
            <w:shd w:val="clear" w:color="auto" w:fill="FFFFFF" w:themeFill="background1"/>
          </w:tcPr>
          <w:p w14:paraId="54BFD467">
            <w:pPr>
              <w:pStyle w:val="30"/>
              <w:spacing w:line="360" w:lineRule="auto"/>
              <w:rPr>
                <w:rFonts w:ascii="宋体" w:hAnsi="宋体" w:cs="宋体"/>
                <w:color w:val="auto"/>
                <w:szCs w:val="21"/>
                <w:highlight w:val="none"/>
              </w:rPr>
            </w:pPr>
          </w:p>
        </w:tc>
        <w:tc>
          <w:tcPr>
            <w:tcW w:w="1001" w:type="pct"/>
            <w:shd w:val="clear" w:color="auto" w:fill="FFFFFF" w:themeFill="background1"/>
          </w:tcPr>
          <w:p w14:paraId="3F5A9750">
            <w:pPr>
              <w:pStyle w:val="30"/>
              <w:spacing w:line="360" w:lineRule="auto"/>
              <w:rPr>
                <w:rFonts w:ascii="宋体" w:hAnsi="宋体" w:cs="宋体"/>
                <w:color w:val="auto"/>
                <w:szCs w:val="21"/>
                <w:highlight w:val="none"/>
              </w:rPr>
            </w:pPr>
          </w:p>
        </w:tc>
        <w:tc>
          <w:tcPr>
            <w:tcW w:w="785" w:type="pct"/>
            <w:shd w:val="clear" w:color="auto" w:fill="FFFFFF" w:themeFill="background1"/>
          </w:tcPr>
          <w:p w14:paraId="2396F991">
            <w:pPr>
              <w:pStyle w:val="30"/>
              <w:spacing w:line="360" w:lineRule="auto"/>
              <w:rPr>
                <w:rFonts w:ascii="宋体" w:hAnsi="宋体" w:cs="宋体"/>
                <w:color w:val="auto"/>
                <w:szCs w:val="21"/>
                <w:highlight w:val="none"/>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8B9614C">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2C2F76A2">
            <w:pPr>
              <w:pStyle w:val="30"/>
              <w:spacing w:line="360" w:lineRule="auto"/>
              <w:rPr>
                <w:rFonts w:ascii="宋体" w:hAnsi="宋体" w:cs="宋体"/>
                <w:color w:val="auto"/>
                <w:szCs w:val="21"/>
                <w:highlight w:val="none"/>
              </w:rPr>
            </w:pPr>
          </w:p>
        </w:tc>
        <w:tc>
          <w:tcPr>
            <w:tcW w:w="1553" w:type="pct"/>
            <w:shd w:val="clear" w:color="auto" w:fill="FFFFFF" w:themeFill="background1"/>
          </w:tcPr>
          <w:p w14:paraId="7764A469">
            <w:pPr>
              <w:pStyle w:val="30"/>
              <w:spacing w:line="360" w:lineRule="auto"/>
              <w:rPr>
                <w:rFonts w:ascii="宋体" w:hAnsi="宋体" w:cs="宋体"/>
                <w:color w:val="auto"/>
                <w:szCs w:val="21"/>
                <w:highlight w:val="none"/>
              </w:rPr>
            </w:pPr>
          </w:p>
        </w:tc>
        <w:tc>
          <w:tcPr>
            <w:tcW w:w="779" w:type="pct"/>
            <w:shd w:val="clear" w:color="auto" w:fill="FFFFFF" w:themeFill="background1"/>
          </w:tcPr>
          <w:p w14:paraId="6891E7A5">
            <w:pPr>
              <w:pStyle w:val="30"/>
              <w:spacing w:line="360" w:lineRule="auto"/>
              <w:rPr>
                <w:rFonts w:ascii="宋体" w:hAnsi="宋体" w:cs="宋体"/>
                <w:color w:val="auto"/>
                <w:szCs w:val="21"/>
                <w:highlight w:val="none"/>
              </w:rPr>
            </w:pPr>
          </w:p>
        </w:tc>
        <w:tc>
          <w:tcPr>
            <w:tcW w:w="1001" w:type="pct"/>
            <w:shd w:val="clear" w:color="auto" w:fill="FFFFFF" w:themeFill="background1"/>
          </w:tcPr>
          <w:p w14:paraId="0F2EAAA0">
            <w:pPr>
              <w:pStyle w:val="30"/>
              <w:spacing w:line="360" w:lineRule="auto"/>
              <w:rPr>
                <w:rFonts w:ascii="宋体" w:hAnsi="宋体" w:cs="宋体"/>
                <w:color w:val="auto"/>
                <w:szCs w:val="21"/>
                <w:highlight w:val="none"/>
              </w:rPr>
            </w:pPr>
          </w:p>
        </w:tc>
        <w:tc>
          <w:tcPr>
            <w:tcW w:w="785" w:type="pct"/>
            <w:shd w:val="clear" w:color="auto" w:fill="FFFFFF" w:themeFill="background1"/>
          </w:tcPr>
          <w:p w14:paraId="22EACBFE">
            <w:pPr>
              <w:pStyle w:val="30"/>
              <w:spacing w:line="360" w:lineRule="auto"/>
              <w:rPr>
                <w:rFonts w:ascii="宋体" w:hAnsi="宋体" w:cs="宋体"/>
                <w:color w:val="auto"/>
                <w:szCs w:val="21"/>
                <w:highlight w:val="none"/>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3C3A516">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2AD02250">
            <w:pPr>
              <w:pStyle w:val="30"/>
              <w:spacing w:line="360" w:lineRule="auto"/>
              <w:rPr>
                <w:rFonts w:ascii="宋体" w:hAnsi="宋体" w:cs="宋体"/>
                <w:color w:val="auto"/>
                <w:szCs w:val="21"/>
                <w:highlight w:val="none"/>
              </w:rPr>
            </w:pPr>
          </w:p>
        </w:tc>
        <w:tc>
          <w:tcPr>
            <w:tcW w:w="1553" w:type="pct"/>
            <w:shd w:val="clear" w:color="auto" w:fill="FFFFFF" w:themeFill="background1"/>
          </w:tcPr>
          <w:p w14:paraId="5F8FBA33">
            <w:pPr>
              <w:pStyle w:val="30"/>
              <w:spacing w:line="360" w:lineRule="auto"/>
              <w:rPr>
                <w:rFonts w:ascii="宋体" w:hAnsi="宋体" w:cs="宋体"/>
                <w:color w:val="auto"/>
                <w:szCs w:val="21"/>
                <w:highlight w:val="none"/>
              </w:rPr>
            </w:pPr>
          </w:p>
        </w:tc>
        <w:tc>
          <w:tcPr>
            <w:tcW w:w="779" w:type="pct"/>
            <w:shd w:val="clear" w:color="auto" w:fill="FFFFFF" w:themeFill="background1"/>
          </w:tcPr>
          <w:p w14:paraId="497BB646">
            <w:pPr>
              <w:pStyle w:val="30"/>
              <w:spacing w:line="360" w:lineRule="auto"/>
              <w:rPr>
                <w:rFonts w:ascii="宋体" w:hAnsi="宋体" w:cs="宋体"/>
                <w:color w:val="auto"/>
                <w:szCs w:val="21"/>
                <w:highlight w:val="none"/>
              </w:rPr>
            </w:pPr>
          </w:p>
        </w:tc>
        <w:tc>
          <w:tcPr>
            <w:tcW w:w="1001" w:type="pct"/>
            <w:shd w:val="clear" w:color="auto" w:fill="FFFFFF" w:themeFill="background1"/>
          </w:tcPr>
          <w:p w14:paraId="1743738A">
            <w:pPr>
              <w:pStyle w:val="30"/>
              <w:spacing w:line="360" w:lineRule="auto"/>
              <w:rPr>
                <w:rFonts w:ascii="宋体" w:hAnsi="宋体" w:cs="宋体"/>
                <w:color w:val="auto"/>
                <w:szCs w:val="21"/>
                <w:highlight w:val="none"/>
              </w:rPr>
            </w:pPr>
          </w:p>
        </w:tc>
        <w:tc>
          <w:tcPr>
            <w:tcW w:w="785" w:type="pct"/>
            <w:shd w:val="clear" w:color="auto" w:fill="FFFFFF" w:themeFill="background1"/>
          </w:tcPr>
          <w:p w14:paraId="5068BC83">
            <w:pPr>
              <w:pStyle w:val="30"/>
              <w:spacing w:line="360" w:lineRule="auto"/>
              <w:rPr>
                <w:rFonts w:ascii="宋体" w:hAnsi="宋体" w:cs="宋体"/>
                <w:color w:val="auto"/>
                <w:szCs w:val="21"/>
                <w:highlight w:val="none"/>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98A3DDF">
            <w:pPr>
              <w:pStyle w:val="30"/>
              <w:spacing w:line="360" w:lineRule="auto"/>
              <w:rPr>
                <w:rFonts w:ascii="宋体" w:hAnsi="宋体" w:cs="宋体"/>
                <w:color w:val="auto"/>
                <w:szCs w:val="21"/>
                <w:highlight w:val="none"/>
              </w:rPr>
            </w:pPr>
          </w:p>
        </w:tc>
        <w:tc>
          <w:tcPr>
            <w:tcW w:w="1553" w:type="pct"/>
          </w:tcPr>
          <w:p w14:paraId="359626A1">
            <w:pPr>
              <w:pStyle w:val="30"/>
              <w:spacing w:line="360" w:lineRule="auto"/>
              <w:rPr>
                <w:rFonts w:ascii="宋体" w:hAnsi="宋体" w:cs="宋体"/>
                <w:color w:val="auto"/>
                <w:szCs w:val="21"/>
                <w:highlight w:val="none"/>
              </w:rPr>
            </w:pPr>
          </w:p>
        </w:tc>
        <w:tc>
          <w:tcPr>
            <w:tcW w:w="779" w:type="pct"/>
          </w:tcPr>
          <w:p w14:paraId="3FDDEAC4">
            <w:pPr>
              <w:pStyle w:val="30"/>
              <w:spacing w:line="360" w:lineRule="auto"/>
              <w:rPr>
                <w:rFonts w:ascii="宋体" w:hAnsi="宋体" w:cs="宋体"/>
                <w:color w:val="auto"/>
                <w:szCs w:val="21"/>
                <w:highlight w:val="none"/>
              </w:rPr>
            </w:pPr>
          </w:p>
        </w:tc>
        <w:tc>
          <w:tcPr>
            <w:tcW w:w="1001" w:type="pct"/>
          </w:tcPr>
          <w:p w14:paraId="467DE159">
            <w:pPr>
              <w:pStyle w:val="30"/>
              <w:spacing w:line="360" w:lineRule="auto"/>
              <w:rPr>
                <w:rFonts w:ascii="宋体" w:hAnsi="宋体" w:cs="宋体"/>
                <w:color w:val="auto"/>
                <w:szCs w:val="21"/>
                <w:highlight w:val="none"/>
              </w:rPr>
            </w:pPr>
          </w:p>
        </w:tc>
        <w:tc>
          <w:tcPr>
            <w:tcW w:w="785" w:type="pct"/>
          </w:tcPr>
          <w:p w14:paraId="5B40CB2B">
            <w:pPr>
              <w:pStyle w:val="30"/>
              <w:spacing w:line="360" w:lineRule="auto"/>
              <w:rPr>
                <w:rFonts w:ascii="宋体" w:hAnsi="宋体" w:cs="宋体"/>
                <w:color w:val="auto"/>
                <w:szCs w:val="21"/>
                <w:highlight w:val="none"/>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30"/>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16A4122">
            <w:pPr>
              <w:pStyle w:val="30"/>
              <w:spacing w:line="360" w:lineRule="auto"/>
              <w:rPr>
                <w:rFonts w:ascii="宋体" w:hAnsi="宋体" w:cs="宋体"/>
                <w:color w:val="auto"/>
                <w:szCs w:val="21"/>
                <w:highlight w:val="none"/>
              </w:rPr>
            </w:pPr>
          </w:p>
        </w:tc>
        <w:tc>
          <w:tcPr>
            <w:tcW w:w="1553" w:type="pct"/>
          </w:tcPr>
          <w:p w14:paraId="7D5F23CC">
            <w:pPr>
              <w:pStyle w:val="30"/>
              <w:spacing w:line="360" w:lineRule="auto"/>
              <w:rPr>
                <w:rFonts w:ascii="宋体" w:hAnsi="宋体" w:cs="宋体"/>
                <w:color w:val="auto"/>
                <w:szCs w:val="21"/>
                <w:highlight w:val="none"/>
              </w:rPr>
            </w:pPr>
          </w:p>
        </w:tc>
        <w:tc>
          <w:tcPr>
            <w:tcW w:w="779" w:type="pct"/>
          </w:tcPr>
          <w:p w14:paraId="36220304">
            <w:pPr>
              <w:pStyle w:val="30"/>
              <w:spacing w:line="360" w:lineRule="auto"/>
              <w:rPr>
                <w:rFonts w:ascii="宋体" w:hAnsi="宋体" w:cs="宋体"/>
                <w:color w:val="auto"/>
                <w:szCs w:val="21"/>
                <w:highlight w:val="none"/>
              </w:rPr>
            </w:pPr>
          </w:p>
        </w:tc>
        <w:tc>
          <w:tcPr>
            <w:tcW w:w="1001" w:type="pct"/>
          </w:tcPr>
          <w:p w14:paraId="4A53B29B">
            <w:pPr>
              <w:pStyle w:val="30"/>
              <w:spacing w:line="360" w:lineRule="auto"/>
              <w:rPr>
                <w:rFonts w:ascii="宋体" w:hAnsi="宋体" w:cs="宋体"/>
                <w:color w:val="auto"/>
                <w:szCs w:val="21"/>
                <w:highlight w:val="none"/>
              </w:rPr>
            </w:pPr>
          </w:p>
        </w:tc>
        <w:tc>
          <w:tcPr>
            <w:tcW w:w="785" w:type="pct"/>
          </w:tcPr>
          <w:p w14:paraId="160AC1B1">
            <w:pPr>
              <w:pStyle w:val="30"/>
              <w:spacing w:line="360" w:lineRule="auto"/>
              <w:rPr>
                <w:rFonts w:ascii="宋体" w:hAnsi="宋体" w:cs="宋体"/>
                <w:color w:val="auto"/>
                <w:szCs w:val="21"/>
                <w:highlight w:val="none"/>
              </w:rPr>
            </w:pPr>
          </w:p>
        </w:tc>
      </w:tr>
    </w:tbl>
    <w:p w14:paraId="275DB757">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E4CFDAA">
      <w:pPr>
        <w:rPr>
          <w:rFonts w:ascii="宋体" w:hAnsi="宋体" w:cs="宋体"/>
          <w:color w:val="auto"/>
          <w:szCs w:val="21"/>
          <w:highlight w:val="none"/>
        </w:rPr>
      </w:pPr>
      <w:r>
        <w:rPr>
          <w:rFonts w:hint="eastAsia" w:ascii="宋体" w:hAnsi="宋体" w:cs="宋体"/>
          <w:color w:val="auto"/>
          <w:szCs w:val="21"/>
          <w:highlight w:val="none"/>
        </w:rPr>
        <w:br w:type="page"/>
      </w:r>
    </w:p>
    <w:p w14:paraId="34588AF4">
      <w:pPr>
        <w:pStyle w:val="8"/>
        <w:rPr>
          <w:b/>
          <w:bCs/>
          <w:color w:val="auto"/>
          <w:highlight w:val="none"/>
          <w:lang w:val="en-US"/>
        </w:rPr>
      </w:pPr>
      <w:r>
        <w:rPr>
          <w:rFonts w:hint="eastAsia"/>
          <w:b/>
          <w:bCs/>
          <w:color w:val="auto"/>
          <w:highlight w:val="none"/>
          <w:lang w:val="en-US"/>
        </w:rPr>
        <w:t>格式十一：</w:t>
      </w:r>
    </w:p>
    <w:p w14:paraId="4F65DCDF">
      <w:pPr>
        <w:jc w:val="center"/>
        <w:rPr>
          <w:b/>
          <w:bCs/>
          <w:color w:val="auto"/>
          <w:sz w:val="24"/>
          <w:szCs w:val="32"/>
          <w:highlight w:val="none"/>
        </w:rPr>
      </w:pPr>
      <w:r>
        <w:rPr>
          <w:b/>
          <w:bCs/>
          <w:color w:val="auto"/>
          <w:sz w:val="24"/>
          <w:szCs w:val="32"/>
          <w:highlight w:val="none"/>
        </w:rPr>
        <w:t>技术要求响应表</w:t>
      </w:r>
    </w:p>
    <w:p w14:paraId="48A49A19">
      <w:pPr>
        <w:pStyle w:val="8"/>
        <w:rPr>
          <w:color w:val="auto"/>
          <w:highlight w:val="none"/>
          <w:lang w:val="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55B8B4AE">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0BF94229">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70B6FE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2682BD62">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1222E08A">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63BD8D88">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9D5B41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00602BC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30A98B06">
            <w:pPr>
              <w:pStyle w:val="8"/>
              <w:spacing w:before="0" w:line="360" w:lineRule="auto"/>
              <w:ind w:left="0"/>
              <w:jc w:val="center"/>
              <w:rPr>
                <w:color w:val="auto"/>
                <w:sz w:val="21"/>
                <w:szCs w:val="21"/>
                <w:highlight w:val="none"/>
                <w:lang w:val="en-US"/>
              </w:rPr>
            </w:pPr>
          </w:p>
        </w:tc>
        <w:tc>
          <w:tcPr>
            <w:tcW w:w="0" w:type="auto"/>
            <w:vAlign w:val="center"/>
          </w:tcPr>
          <w:p w14:paraId="20E2995B">
            <w:pPr>
              <w:pStyle w:val="8"/>
              <w:spacing w:before="0" w:line="360" w:lineRule="auto"/>
              <w:ind w:left="0"/>
              <w:jc w:val="center"/>
              <w:rPr>
                <w:color w:val="auto"/>
                <w:sz w:val="21"/>
                <w:szCs w:val="21"/>
                <w:highlight w:val="none"/>
                <w:lang w:val="en-US"/>
              </w:rPr>
            </w:pPr>
          </w:p>
        </w:tc>
        <w:tc>
          <w:tcPr>
            <w:tcW w:w="0" w:type="auto"/>
            <w:vAlign w:val="center"/>
          </w:tcPr>
          <w:p w14:paraId="504E4CF0">
            <w:pPr>
              <w:pStyle w:val="8"/>
              <w:spacing w:before="0" w:line="360" w:lineRule="auto"/>
              <w:ind w:left="0"/>
              <w:jc w:val="center"/>
              <w:rPr>
                <w:color w:val="auto"/>
                <w:sz w:val="21"/>
                <w:szCs w:val="21"/>
                <w:highlight w:val="none"/>
                <w:lang w:val="en-US"/>
              </w:rPr>
            </w:pPr>
          </w:p>
        </w:tc>
        <w:tc>
          <w:tcPr>
            <w:tcW w:w="0" w:type="auto"/>
            <w:vAlign w:val="center"/>
          </w:tcPr>
          <w:p w14:paraId="34D5372F">
            <w:pPr>
              <w:pStyle w:val="8"/>
              <w:spacing w:before="0" w:line="360" w:lineRule="auto"/>
              <w:ind w:left="0"/>
              <w:jc w:val="center"/>
              <w:rPr>
                <w:color w:val="auto"/>
                <w:sz w:val="21"/>
                <w:szCs w:val="21"/>
                <w:highlight w:val="none"/>
                <w:lang w:val="en-US"/>
              </w:rPr>
            </w:pPr>
          </w:p>
        </w:tc>
        <w:tc>
          <w:tcPr>
            <w:tcW w:w="0" w:type="auto"/>
            <w:vAlign w:val="center"/>
          </w:tcPr>
          <w:p w14:paraId="77CF92C3">
            <w:pPr>
              <w:pStyle w:val="8"/>
              <w:spacing w:before="0" w:line="360" w:lineRule="auto"/>
              <w:ind w:left="0"/>
              <w:jc w:val="center"/>
              <w:rPr>
                <w:color w:val="auto"/>
                <w:sz w:val="21"/>
                <w:szCs w:val="21"/>
                <w:highlight w:val="none"/>
                <w:lang w:val="en-US"/>
              </w:rPr>
            </w:pPr>
          </w:p>
        </w:tc>
        <w:tc>
          <w:tcPr>
            <w:tcW w:w="0" w:type="auto"/>
            <w:vAlign w:val="center"/>
          </w:tcPr>
          <w:p w14:paraId="50F0D621">
            <w:pPr>
              <w:pStyle w:val="8"/>
              <w:spacing w:before="0" w:line="360" w:lineRule="auto"/>
              <w:ind w:left="0"/>
              <w:jc w:val="center"/>
              <w:rPr>
                <w:color w:val="auto"/>
                <w:sz w:val="21"/>
                <w:szCs w:val="21"/>
                <w:highlight w:val="none"/>
                <w:lang w:val="en-US"/>
              </w:rPr>
            </w:pPr>
          </w:p>
        </w:tc>
        <w:tc>
          <w:tcPr>
            <w:tcW w:w="0" w:type="auto"/>
            <w:vAlign w:val="center"/>
          </w:tcPr>
          <w:p w14:paraId="3D2E71B5">
            <w:pPr>
              <w:pStyle w:val="8"/>
              <w:spacing w:before="0" w:line="360" w:lineRule="auto"/>
              <w:ind w:left="0"/>
              <w:jc w:val="center"/>
              <w:rPr>
                <w:color w:val="auto"/>
                <w:sz w:val="21"/>
                <w:szCs w:val="21"/>
                <w:highlight w:val="none"/>
                <w:lang w:val="en-US"/>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1E5D168">
            <w:pPr>
              <w:pStyle w:val="8"/>
              <w:spacing w:before="0" w:line="360" w:lineRule="auto"/>
              <w:ind w:left="0"/>
              <w:jc w:val="center"/>
              <w:rPr>
                <w:color w:val="auto"/>
                <w:sz w:val="21"/>
                <w:szCs w:val="21"/>
                <w:highlight w:val="none"/>
                <w:lang w:val="en-US"/>
              </w:rPr>
            </w:pPr>
          </w:p>
        </w:tc>
        <w:tc>
          <w:tcPr>
            <w:tcW w:w="0" w:type="auto"/>
            <w:vAlign w:val="center"/>
          </w:tcPr>
          <w:p w14:paraId="7C2F2A0A">
            <w:pPr>
              <w:pStyle w:val="8"/>
              <w:spacing w:before="0" w:line="360" w:lineRule="auto"/>
              <w:ind w:left="0"/>
              <w:jc w:val="center"/>
              <w:rPr>
                <w:color w:val="auto"/>
                <w:sz w:val="21"/>
                <w:szCs w:val="21"/>
                <w:highlight w:val="none"/>
                <w:lang w:val="en-US"/>
              </w:rPr>
            </w:pPr>
          </w:p>
        </w:tc>
        <w:tc>
          <w:tcPr>
            <w:tcW w:w="0" w:type="auto"/>
            <w:vAlign w:val="center"/>
          </w:tcPr>
          <w:p w14:paraId="103B3B5C">
            <w:pPr>
              <w:pStyle w:val="8"/>
              <w:spacing w:before="0" w:line="360" w:lineRule="auto"/>
              <w:ind w:left="0"/>
              <w:jc w:val="center"/>
              <w:rPr>
                <w:color w:val="auto"/>
                <w:sz w:val="21"/>
                <w:szCs w:val="21"/>
                <w:highlight w:val="none"/>
                <w:lang w:val="en-US"/>
              </w:rPr>
            </w:pPr>
          </w:p>
        </w:tc>
        <w:tc>
          <w:tcPr>
            <w:tcW w:w="0" w:type="auto"/>
            <w:vAlign w:val="center"/>
          </w:tcPr>
          <w:p w14:paraId="46461630">
            <w:pPr>
              <w:pStyle w:val="8"/>
              <w:spacing w:before="0" w:line="360" w:lineRule="auto"/>
              <w:ind w:left="0"/>
              <w:jc w:val="center"/>
              <w:rPr>
                <w:color w:val="auto"/>
                <w:sz w:val="21"/>
                <w:szCs w:val="21"/>
                <w:highlight w:val="none"/>
                <w:lang w:val="en-US"/>
              </w:rPr>
            </w:pPr>
          </w:p>
        </w:tc>
        <w:tc>
          <w:tcPr>
            <w:tcW w:w="0" w:type="auto"/>
            <w:vAlign w:val="center"/>
          </w:tcPr>
          <w:p w14:paraId="70AF070C">
            <w:pPr>
              <w:pStyle w:val="8"/>
              <w:spacing w:before="0" w:line="360" w:lineRule="auto"/>
              <w:ind w:left="0"/>
              <w:jc w:val="center"/>
              <w:rPr>
                <w:color w:val="auto"/>
                <w:sz w:val="21"/>
                <w:szCs w:val="21"/>
                <w:highlight w:val="none"/>
                <w:lang w:val="en-US"/>
              </w:rPr>
            </w:pPr>
          </w:p>
        </w:tc>
        <w:tc>
          <w:tcPr>
            <w:tcW w:w="0" w:type="auto"/>
            <w:vAlign w:val="center"/>
          </w:tcPr>
          <w:p w14:paraId="19791865">
            <w:pPr>
              <w:pStyle w:val="8"/>
              <w:spacing w:before="0" w:line="360" w:lineRule="auto"/>
              <w:ind w:left="0"/>
              <w:jc w:val="center"/>
              <w:rPr>
                <w:color w:val="auto"/>
                <w:sz w:val="21"/>
                <w:szCs w:val="21"/>
                <w:highlight w:val="none"/>
                <w:lang w:val="en-US"/>
              </w:rPr>
            </w:pPr>
          </w:p>
        </w:tc>
        <w:tc>
          <w:tcPr>
            <w:tcW w:w="0" w:type="auto"/>
            <w:vAlign w:val="center"/>
          </w:tcPr>
          <w:p w14:paraId="47CA76FD">
            <w:pPr>
              <w:pStyle w:val="8"/>
              <w:spacing w:before="0" w:line="360" w:lineRule="auto"/>
              <w:ind w:left="0"/>
              <w:jc w:val="center"/>
              <w:rPr>
                <w:color w:val="auto"/>
                <w:sz w:val="21"/>
                <w:szCs w:val="21"/>
                <w:highlight w:val="none"/>
                <w:lang w:val="en-US"/>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7ADA5BAF">
            <w:pPr>
              <w:pStyle w:val="8"/>
              <w:spacing w:before="0" w:line="360" w:lineRule="auto"/>
              <w:ind w:left="0"/>
              <w:jc w:val="center"/>
              <w:rPr>
                <w:color w:val="auto"/>
                <w:sz w:val="21"/>
                <w:szCs w:val="21"/>
                <w:highlight w:val="none"/>
                <w:lang w:val="en-US"/>
              </w:rPr>
            </w:pPr>
          </w:p>
        </w:tc>
        <w:tc>
          <w:tcPr>
            <w:tcW w:w="0" w:type="auto"/>
            <w:vAlign w:val="center"/>
          </w:tcPr>
          <w:p w14:paraId="27B68F61">
            <w:pPr>
              <w:pStyle w:val="8"/>
              <w:spacing w:before="0" w:line="360" w:lineRule="auto"/>
              <w:ind w:left="0"/>
              <w:jc w:val="center"/>
              <w:rPr>
                <w:color w:val="auto"/>
                <w:sz w:val="21"/>
                <w:szCs w:val="21"/>
                <w:highlight w:val="none"/>
                <w:lang w:val="en-US"/>
              </w:rPr>
            </w:pPr>
          </w:p>
        </w:tc>
        <w:tc>
          <w:tcPr>
            <w:tcW w:w="0" w:type="auto"/>
            <w:vAlign w:val="center"/>
          </w:tcPr>
          <w:p w14:paraId="5A52E33B">
            <w:pPr>
              <w:pStyle w:val="8"/>
              <w:spacing w:before="0" w:line="360" w:lineRule="auto"/>
              <w:ind w:left="0"/>
              <w:jc w:val="center"/>
              <w:rPr>
                <w:color w:val="auto"/>
                <w:sz w:val="21"/>
                <w:szCs w:val="21"/>
                <w:highlight w:val="none"/>
                <w:lang w:val="en-US"/>
              </w:rPr>
            </w:pPr>
          </w:p>
        </w:tc>
        <w:tc>
          <w:tcPr>
            <w:tcW w:w="0" w:type="auto"/>
            <w:vAlign w:val="center"/>
          </w:tcPr>
          <w:p w14:paraId="07E46697">
            <w:pPr>
              <w:pStyle w:val="8"/>
              <w:spacing w:before="0" w:line="360" w:lineRule="auto"/>
              <w:ind w:left="0"/>
              <w:jc w:val="center"/>
              <w:rPr>
                <w:color w:val="auto"/>
                <w:sz w:val="21"/>
                <w:szCs w:val="21"/>
                <w:highlight w:val="none"/>
                <w:lang w:val="en-US"/>
              </w:rPr>
            </w:pPr>
          </w:p>
        </w:tc>
        <w:tc>
          <w:tcPr>
            <w:tcW w:w="0" w:type="auto"/>
            <w:vAlign w:val="center"/>
          </w:tcPr>
          <w:p w14:paraId="4F378BC3">
            <w:pPr>
              <w:pStyle w:val="8"/>
              <w:spacing w:before="0" w:line="360" w:lineRule="auto"/>
              <w:ind w:left="0"/>
              <w:jc w:val="center"/>
              <w:rPr>
                <w:color w:val="auto"/>
                <w:sz w:val="21"/>
                <w:szCs w:val="21"/>
                <w:highlight w:val="none"/>
                <w:lang w:val="en-US"/>
              </w:rPr>
            </w:pPr>
          </w:p>
        </w:tc>
        <w:tc>
          <w:tcPr>
            <w:tcW w:w="0" w:type="auto"/>
            <w:vAlign w:val="center"/>
          </w:tcPr>
          <w:p w14:paraId="57E0990C">
            <w:pPr>
              <w:pStyle w:val="8"/>
              <w:spacing w:before="0" w:line="360" w:lineRule="auto"/>
              <w:ind w:left="0"/>
              <w:jc w:val="center"/>
              <w:rPr>
                <w:color w:val="auto"/>
                <w:sz w:val="21"/>
                <w:szCs w:val="21"/>
                <w:highlight w:val="none"/>
                <w:lang w:val="en-US"/>
              </w:rPr>
            </w:pPr>
          </w:p>
        </w:tc>
        <w:tc>
          <w:tcPr>
            <w:tcW w:w="0" w:type="auto"/>
            <w:vAlign w:val="center"/>
          </w:tcPr>
          <w:p w14:paraId="0AD67E4B">
            <w:pPr>
              <w:pStyle w:val="8"/>
              <w:spacing w:before="0" w:line="360" w:lineRule="auto"/>
              <w:ind w:left="0"/>
              <w:jc w:val="center"/>
              <w:rPr>
                <w:color w:val="auto"/>
                <w:sz w:val="21"/>
                <w:szCs w:val="21"/>
                <w:highlight w:val="none"/>
                <w:lang w:val="en-US"/>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2D3D96D3">
            <w:pPr>
              <w:pStyle w:val="8"/>
              <w:spacing w:before="0" w:line="360" w:lineRule="auto"/>
              <w:ind w:left="0"/>
              <w:jc w:val="center"/>
              <w:rPr>
                <w:color w:val="auto"/>
                <w:sz w:val="21"/>
                <w:szCs w:val="21"/>
                <w:highlight w:val="none"/>
                <w:lang w:val="en-US"/>
              </w:rPr>
            </w:pPr>
          </w:p>
        </w:tc>
        <w:tc>
          <w:tcPr>
            <w:tcW w:w="0" w:type="auto"/>
            <w:vAlign w:val="center"/>
          </w:tcPr>
          <w:p w14:paraId="7CBAE2CD">
            <w:pPr>
              <w:pStyle w:val="8"/>
              <w:spacing w:before="0" w:line="360" w:lineRule="auto"/>
              <w:ind w:left="0"/>
              <w:jc w:val="center"/>
              <w:rPr>
                <w:color w:val="auto"/>
                <w:sz w:val="21"/>
                <w:szCs w:val="21"/>
                <w:highlight w:val="none"/>
                <w:lang w:val="en-US"/>
              </w:rPr>
            </w:pPr>
          </w:p>
        </w:tc>
        <w:tc>
          <w:tcPr>
            <w:tcW w:w="0" w:type="auto"/>
            <w:vAlign w:val="center"/>
          </w:tcPr>
          <w:p w14:paraId="79A83FC5">
            <w:pPr>
              <w:pStyle w:val="8"/>
              <w:spacing w:before="0" w:line="360" w:lineRule="auto"/>
              <w:ind w:left="0"/>
              <w:jc w:val="center"/>
              <w:rPr>
                <w:color w:val="auto"/>
                <w:sz w:val="21"/>
                <w:szCs w:val="21"/>
                <w:highlight w:val="none"/>
                <w:lang w:val="en-US"/>
              </w:rPr>
            </w:pPr>
          </w:p>
        </w:tc>
        <w:tc>
          <w:tcPr>
            <w:tcW w:w="0" w:type="auto"/>
            <w:vAlign w:val="center"/>
          </w:tcPr>
          <w:p w14:paraId="2DBC9F19">
            <w:pPr>
              <w:pStyle w:val="8"/>
              <w:spacing w:before="0" w:line="360" w:lineRule="auto"/>
              <w:ind w:left="0"/>
              <w:jc w:val="center"/>
              <w:rPr>
                <w:color w:val="auto"/>
                <w:sz w:val="21"/>
                <w:szCs w:val="21"/>
                <w:highlight w:val="none"/>
                <w:lang w:val="en-US"/>
              </w:rPr>
            </w:pPr>
          </w:p>
        </w:tc>
        <w:tc>
          <w:tcPr>
            <w:tcW w:w="0" w:type="auto"/>
            <w:vAlign w:val="center"/>
          </w:tcPr>
          <w:p w14:paraId="54713417">
            <w:pPr>
              <w:pStyle w:val="8"/>
              <w:spacing w:before="0" w:line="360" w:lineRule="auto"/>
              <w:ind w:left="0"/>
              <w:jc w:val="center"/>
              <w:rPr>
                <w:color w:val="auto"/>
                <w:sz w:val="21"/>
                <w:szCs w:val="21"/>
                <w:highlight w:val="none"/>
                <w:lang w:val="en-US"/>
              </w:rPr>
            </w:pPr>
          </w:p>
        </w:tc>
        <w:tc>
          <w:tcPr>
            <w:tcW w:w="0" w:type="auto"/>
            <w:vAlign w:val="center"/>
          </w:tcPr>
          <w:p w14:paraId="667EDB0C">
            <w:pPr>
              <w:pStyle w:val="8"/>
              <w:spacing w:before="0" w:line="360" w:lineRule="auto"/>
              <w:ind w:left="0"/>
              <w:jc w:val="center"/>
              <w:rPr>
                <w:color w:val="auto"/>
                <w:sz w:val="21"/>
                <w:szCs w:val="21"/>
                <w:highlight w:val="none"/>
                <w:lang w:val="en-US"/>
              </w:rPr>
            </w:pPr>
          </w:p>
        </w:tc>
        <w:tc>
          <w:tcPr>
            <w:tcW w:w="0" w:type="auto"/>
            <w:vAlign w:val="center"/>
          </w:tcPr>
          <w:p w14:paraId="124B9836">
            <w:pPr>
              <w:pStyle w:val="8"/>
              <w:spacing w:before="0" w:line="360" w:lineRule="auto"/>
              <w:ind w:left="0"/>
              <w:jc w:val="center"/>
              <w:rPr>
                <w:color w:val="auto"/>
                <w:sz w:val="21"/>
                <w:szCs w:val="21"/>
                <w:highlight w:val="none"/>
                <w:lang w:val="en-US"/>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68051DD7">
            <w:pPr>
              <w:pStyle w:val="8"/>
              <w:spacing w:before="0" w:line="360" w:lineRule="auto"/>
              <w:ind w:left="0"/>
              <w:jc w:val="center"/>
              <w:rPr>
                <w:color w:val="auto"/>
                <w:sz w:val="21"/>
                <w:szCs w:val="21"/>
                <w:highlight w:val="none"/>
                <w:lang w:val="en-US"/>
              </w:rPr>
            </w:pPr>
          </w:p>
        </w:tc>
        <w:tc>
          <w:tcPr>
            <w:tcW w:w="0" w:type="auto"/>
            <w:vAlign w:val="center"/>
          </w:tcPr>
          <w:p w14:paraId="1183E979">
            <w:pPr>
              <w:pStyle w:val="8"/>
              <w:spacing w:before="0" w:line="360" w:lineRule="auto"/>
              <w:ind w:left="0"/>
              <w:jc w:val="center"/>
              <w:rPr>
                <w:color w:val="auto"/>
                <w:sz w:val="21"/>
                <w:szCs w:val="21"/>
                <w:highlight w:val="none"/>
                <w:lang w:val="en-US"/>
              </w:rPr>
            </w:pPr>
          </w:p>
        </w:tc>
        <w:tc>
          <w:tcPr>
            <w:tcW w:w="0" w:type="auto"/>
            <w:vAlign w:val="center"/>
          </w:tcPr>
          <w:p w14:paraId="02AD4D2D">
            <w:pPr>
              <w:pStyle w:val="8"/>
              <w:spacing w:before="0" w:line="360" w:lineRule="auto"/>
              <w:ind w:left="0"/>
              <w:jc w:val="center"/>
              <w:rPr>
                <w:color w:val="auto"/>
                <w:sz w:val="21"/>
                <w:szCs w:val="21"/>
                <w:highlight w:val="none"/>
                <w:lang w:val="en-US"/>
              </w:rPr>
            </w:pPr>
          </w:p>
        </w:tc>
        <w:tc>
          <w:tcPr>
            <w:tcW w:w="0" w:type="auto"/>
            <w:vAlign w:val="center"/>
          </w:tcPr>
          <w:p w14:paraId="2615D5C4">
            <w:pPr>
              <w:pStyle w:val="8"/>
              <w:spacing w:before="0" w:line="360" w:lineRule="auto"/>
              <w:ind w:left="0"/>
              <w:jc w:val="center"/>
              <w:rPr>
                <w:color w:val="auto"/>
                <w:sz w:val="21"/>
                <w:szCs w:val="21"/>
                <w:highlight w:val="none"/>
                <w:lang w:val="en-US"/>
              </w:rPr>
            </w:pPr>
          </w:p>
        </w:tc>
        <w:tc>
          <w:tcPr>
            <w:tcW w:w="0" w:type="auto"/>
            <w:vAlign w:val="center"/>
          </w:tcPr>
          <w:p w14:paraId="15CFD639">
            <w:pPr>
              <w:pStyle w:val="8"/>
              <w:spacing w:before="0" w:line="360" w:lineRule="auto"/>
              <w:ind w:left="0"/>
              <w:jc w:val="center"/>
              <w:rPr>
                <w:color w:val="auto"/>
                <w:sz w:val="21"/>
                <w:szCs w:val="21"/>
                <w:highlight w:val="none"/>
                <w:lang w:val="en-US"/>
              </w:rPr>
            </w:pPr>
          </w:p>
        </w:tc>
        <w:tc>
          <w:tcPr>
            <w:tcW w:w="0" w:type="auto"/>
            <w:vAlign w:val="center"/>
          </w:tcPr>
          <w:p w14:paraId="517C636C">
            <w:pPr>
              <w:pStyle w:val="8"/>
              <w:spacing w:before="0" w:line="360" w:lineRule="auto"/>
              <w:ind w:left="0"/>
              <w:jc w:val="center"/>
              <w:rPr>
                <w:color w:val="auto"/>
                <w:sz w:val="21"/>
                <w:szCs w:val="21"/>
                <w:highlight w:val="none"/>
                <w:lang w:val="en-US"/>
              </w:rPr>
            </w:pPr>
          </w:p>
        </w:tc>
        <w:tc>
          <w:tcPr>
            <w:tcW w:w="0" w:type="auto"/>
            <w:vAlign w:val="center"/>
          </w:tcPr>
          <w:p w14:paraId="3E512883">
            <w:pPr>
              <w:pStyle w:val="8"/>
              <w:spacing w:before="0" w:line="360" w:lineRule="auto"/>
              <w:ind w:left="0"/>
              <w:jc w:val="center"/>
              <w:rPr>
                <w:color w:val="auto"/>
                <w:sz w:val="21"/>
                <w:szCs w:val="21"/>
                <w:highlight w:val="none"/>
                <w:lang w:val="en-US"/>
              </w:rPr>
            </w:pPr>
          </w:p>
        </w:tc>
      </w:tr>
    </w:tbl>
    <w:p w14:paraId="60CB75DC">
      <w:pPr>
        <w:pStyle w:val="8"/>
        <w:rPr>
          <w:color w:val="auto"/>
          <w:highlight w:val="none"/>
          <w:lang w:val="en-US"/>
        </w:rPr>
      </w:pPr>
    </w:p>
    <w:p w14:paraId="3460A522">
      <w:pPr>
        <w:rPr>
          <w:color w:val="auto"/>
          <w:highlight w:val="none"/>
        </w:rPr>
      </w:pPr>
    </w:p>
    <w:p w14:paraId="6F115E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1AB9BE5A">
      <w:pPr>
        <w:pStyle w:val="28"/>
        <w:tabs>
          <w:tab w:val="left" w:pos="731"/>
        </w:tabs>
        <w:autoSpaceDE w:val="0"/>
        <w:autoSpaceDN w:val="0"/>
        <w:spacing w:line="360" w:lineRule="auto"/>
        <w:ind w:firstLine="423"/>
        <w:rPr>
          <w:rFonts w:ascii="宋体" w:hAnsi="宋体" w:cs="宋体"/>
          <w:color w:val="auto"/>
          <w:w w:val="101"/>
          <w:szCs w:val="21"/>
          <w:highlight w:val="none"/>
        </w:rPr>
      </w:pPr>
    </w:p>
    <w:p w14:paraId="7F604B1E">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0CE2F69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316ACB8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BCEEE1E">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F338C97">
      <w:pPr>
        <w:rPr>
          <w:b/>
          <w:bCs/>
          <w:color w:val="auto"/>
          <w:sz w:val="24"/>
          <w:highlight w:val="none"/>
        </w:rPr>
      </w:pPr>
      <w:r>
        <w:rPr>
          <w:rFonts w:hint="eastAsia"/>
          <w:b/>
          <w:bCs/>
          <w:color w:val="auto"/>
          <w:sz w:val="24"/>
          <w:highlight w:val="none"/>
        </w:rPr>
        <w:t>格式十二：</w:t>
      </w:r>
    </w:p>
    <w:p w14:paraId="32E827F6">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ABFFDB7">
      <w:pPr>
        <w:rPr>
          <w:b/>
          <w:bCs/>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97566A3">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A6229A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FBE424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4EB6C89D">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500E7E5B">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389C5016">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6950A67A">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5667D8E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2BF07E4D">
            <w:pPr>
              <w:pStyle w:val="8"/>
              <w:spacing w:before="0" w:line="360" w:lineRule="auto"/>
              <w:ind w:left="0"/>
              <w:jc w:val="center"/>
              <w:rPr>
                <w:color w:val="auto"/>
                <w:sz w:val="21"/>
                <w:szCs w:val="21"/>
                <w:highlight w:val="none"/>
                <w:lang w:val="en-US"/>
              </w:rPr>
            </w:pPr>
          </w:p>
        </w:tc>
        <w:tc>
          <w:tcPr>
            <w:tcW w:w="814" w:type="dxa"/>
            <w:vAlign w:val="center"/>
          </w:tcPr>
          <w:p w14:paraId="004490A1">
            <w:pPr>
              <w:pStyle w:val="8"/>
              <w:spacing w:before="0" w:line="360" w:lineRule="auto"/>
              <w:ind w:left="0"/>
              <w:jc w:val="center"/>
              <w:rPr>
                <w:color w:val="auto"/>
                <w:sz w:val="21"/>
                <w:szCs w:val="21"/>
                <w:highlight w:val="none"/>
                <w:lang w:val="en-US"/>
              </w:rPr>
            </w:pPr>
          </w:p>
        </w:tc>
        <w:tc>
          <w:tcPr>
            <w:tcW w:w="1900" w:type="dxa"/>
            <w:vAlign w:val="center"/>
          </w:tcPr>
          <w:p w14:paraId="792951CD">
            <w:pPr>
              <w:pStyle w:val="8"/>
              <w:spacing w:before="0" w:line="360" w:lineRule="auto"/>
              <w:ind w:left="0"/>
              <w:jc w:val="center"/>
              <w:rPr>
                <w:color w:val="auto"/>
                <w:sz w:val="21"/>
                <w:szCs w:val="21"/>
                <w:highlight w:val="none"/>
                <w:lang w:val="en-US"/>
              </w:rPr>
            </w:pPr>
          </w:p>
        </w:tc>
        <w:tc>
          <w:tcPr>
            <w:tcW w:w="1900" w:type="dxa"/>
            <w:vAlign w:val="center"/>
          </w:tcPr>
          <w:p w14:paraId="79DA01B1">
            <w:pPr>
              <w:pStyle w:val="8"/>
              <w:spacing w:before="0" w:line="360" w:lineRule="auto"/>
              <w:ind w:left="0"/>
              <w:jc w:val="center"/>
              <w:rPr>
                <w:color w:val="auto"/>
                <w:sz w:val="21"/>
                <w:szCs w:val="21"/>
                <w:highlight w:val="none"/>
                <w:lang w:val="en-US"/>
              </w:rPr>
            </w:pPr>
          </w:p>
        </w:tc>
        <w:tc>
          <w:tcPr>
            <w:tcW w:w="647" w:type="dxa"/>
            <w:vAlign w:val="center"/>
          </w:tcPr>
          <w:p w14:paraId="4BDF344C">
            <w:pPr>
              <w:pStyle w:val="8"/>
              <w:spacing w:before="0" w:line="360" w:lineRule="auto"/>
              <w:ind w:left="0"/>
              <w:jc w:val="center"/>
              <w:rPr>
                <w:color w:val="auto"/>
                <w:sz w:val="21"/>
                <w:szCs w:val="21"/>
                <w:highlight w:val="none"/>
                <w:lang w:val="en-US"/>
              </w:rPr>
            </w:pPr>
          </w:p>
        </w:tc>
        <w:tc>
          <w:tcPr>
            <w:tcW w:w="1386" w:type="dxa"/>
            <w:vAlign w:val="center"/>
          </w:tcPr>
          <w:p w14:paraId="0945F3EC">
            <w:pPr>
              <w:pStyle w:val="8"/>
              <w:spacing w:before="0" w:line="360" w:lineRule="auto"/>
              <w:ind w:left="0"/>
              <w:jc w:val="center"/>
              <w:rPr>
                <w:color w:val="auto"/>
                <w:sz w:val="21"/>
                <w:szCs w:val="21"/>
                <w:highlight w:val="none"/>
                <w:lang w:val="en-US"/>
              </w:rPr>
            </w:pPr>
          </w:p>
        </w:tc>
        <w:tc>
          <w:tcPr>
            <w:tcW w:w="529" w:type="dxa"/>
            <w:vAlign w:val="center"/>
          </w:tcPr>
          <w:p w14:paraId="7163D4A8">
            <w:pPr>
              <w:pStyle w:val="8"/>
              <w:spacing w:before="0" w:line="360" w:lineRule="auto"/>
              <w:ind w:left="0"/>
              <w:jc w:val="center"/>
              <w:rPr>
                <w:color w:val="auto"/>
                <w:sz w:val="21"/>
                <w:szCs w:val="21"/>
                <w:highlight w:val="none"/>
                <w:lang w:val="en-US"/>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0929D44">
            <w:pPr>
              <w:pStyle w:val="8"/>
              <w:spacing w:before="0" w:line="360" w:lineRule="auto"/>
              <w:ind w:left="0"/>
              <w:jc w:val="center"/>
              <w:rPr>
                <w:color w:val="auto"/>
                <w:sz w:val="21"/>
                <w:szCs w:val="21"/>
                <w:highlight w:val="none"/>
                <w:lang w:val="en-US"/>
              </w:rPr>
            </w:pPr>
          </w:p>
        </w:tc>
        <w:tc>
          <w:tcPr>
            <w:tcW w:w="814" w:type="dxa"/>
            <w:vAlign w:val="center"/>
          </w:tcPr>
          <w:p w14:paraId="7554CAFA">
            <w:pPr>
              <w:pStyle w:val="8"/>
              <w:spacing w:before="0" w:line="360" w:lineRule="auto"/>
              <w:ind w:left="0"/>
              <w:jc w:val="center"/>
              <w:rPr>
                <w:color w:val="auto"/>
                <w:sz w:val="21"/>
                <w:szCs w:val="21"/>
                <w:highlight w:val="none"/>
                <w:lang w:val="en-US"/>
              </w:rPr>
            </w:pPr>
          </w:p>
        </w:tc>
        <w:tc>
          <w:tcPr>
            <w:tcW w:w="1900" w:type="dxa"/>
            <w:vAlign w:val="center"/>
          </w:tcPr>
          <w:p w14:paraId="5948B8D1">
            <w:pPr>
              <w:pStyle w:val="8"/>
              <w:spacing w:before="0" w:line="360" w:lineRule="auto"/>
              <w:ind w:left="0"/>
              <w:jc w:val="center"/>
              <w:rPr>
                <w:color w:val="auto"/>
                <w:sz w:val="21"/>
                <w:szCs w:val="21"/>
                <w:highlight w:val="none"/>
                <w:lang w:val="en-US"/>
              </w:rPr>
            </w:pPr>
          </w:p>
        </w:tc>
        <w:tc>
          <w:tcPr>
            <w:tcW w:w="1900" w:type="dxa"/>
            <w:vAlign w:val="center"/>
          </w:tcPr>
          <w:p w14:paraId="56EEC3A1">
            <w:pPr>
              <w:pStyle w:val="8"/>
              <w:spacing w:before="0" w:line="360" w:lineRule="auto"/>
              <w:ind w:left="0"/>
              <w:jc w:val="center"/>
              <w:rPr>
                <w:color w:val="auto"/>
                <w:sz w:val="21"/>
                <w:szCs w:val="21"/>
                <w:highlight w:val="none"/>
                <w:lang w:val="en-US"/>
              </w:rPr>
            </w:pPr>
          </w:p>
        </w:tc>
        <w:tc>
          <w:tcPr>
            <w:tcW w:w="647" w:type="dxa"/>
            <w:vAlign w:val="center"/>
          </w:tcPr>
          <w:p w14:paraId="09B57897">
            <w:pPr>
              <w:pStyle w:val="8"/>
              <w:spacing w:before="0" w:line="360" w:lineRule="auto"/>
              <w:ind w:left="0"/>
              <w:jc w:val="center"/>
              <w:rPr>
                <w:color w:val="auto"/>
                <w:sz w:val="21"/>
                <w:szCs w:val="21"/>
                <w:highlight w:val="none"/>
                <w:lang w:val="en-US"/>
              </w:rPr>
            </w:pPr>
          </w:p>
        </w:tc>
        <w:tc>
          <w:tcPr>
            <w:tcW w:w="1386" w:type="dxa"/>
            <w:vAlign w:val="center"/>
          </w:tcPr>
          <w:p w14:paraId="7F71CB90">
            <w:pPr>
              <w:pStyle w:val="8"/>
              <w:spacing w:before="0" w:line="360" w:lineRule="auto"/>
              <w:ind w:left="0"/>
              <w:jc w:val="center"/>
              <w:rPr>
                <w:color w:val="auto"/>
                <w:sz w:val="21"/>
                <w:szCs w:val="21"/>
                <w:highlight w:val="none"/>
                <w:lang w:val="en-US"/>
              </w:rPr>
            </w:pPr>
          </w:p>
        </w:tc>
        <w:tc>
          <w:tcPr>
            <w:tcW w:w="529" w:type="dxa"/>
            <w:vAlign w:val="center"/>
          </w:tcPr>
          <w:p w14:paraId="43342A52">
            <w:pPr>
              <w:pStyle w:val="8"/>
              <w:spacing w:before="0" w:line="360" w:lineRule="auto"/>
              <w:ind w:left="0"/>
              <w:jc w:val="center"/>
              <w:rPr>
                <w:color w:val="auto"/>
                <w:sz w:val="21"/>
                <w:szCs w:val="21"/>
                <w:highlight w:val="none"/>
                <w:lang w:val="en-US"/>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B7740E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705EDC50">
            <w:pPr>
              <w:pStyle w:val="8"/>
              <w:spacing w:before="0" w:line="360" w:lineRule="auto"/>
              <w:ind w:left="0"/>
              <w:jc w:val="center"/>
              <w:rPr>
                <w:color w:val="auto"/>
                <w:sz w:val="21"/>
                <w:szCs w:val="21"/>
                <w:highlight w:val="none"/>
                <w:lang w:val="en-US"/>
              </w:rPr>
            </w:pPr>
          </w:p>
        </w:tc>
        <w:tc>
          <w:tcPr>
            <w:tcW w:w="814" w:type="dxa"/>
            <w:vAlign w:val="center"/>
          </w:tcPr>
          <w:p w14:paraId="0507444D">
            <w:pPr>
              <w:pStyle w:val="8"/>
              <w:spacing w:before="0" w:line="360" w:lineRule="auto"/>
              <w:ind w:left="0"/>
              <w:jc w:val="center"/>
              <w:rPr>
                <w:color w:val="auto"/>
                <w:sz w:val="21"/>
                <w:szCs w:val="21"/>
                <w:highlight w:val="none"/>
                <w:lang w:val="en-US"/>
              </w:rPr>
            </w:pPr>
          </w:p>
        </w:tc>
        <w:tc>
          <w:tcPr>
            <w:tcW w:w="1900" w:type="dxa"/>
            <w:vAlign w:val="center"/>
          </w:tcPr>
          <w:p w14:paraId="7C83D0D1">
            <w:pPr>
              <w:pStyle w:val="8"/>
              <w:spacing w:before="0" w:line="360" w:lineRule="auto"/>
              <w:ind w:left="0"/>
              <w:jc w:val="center"/>
              <w:rPr>
                <w:color w:val="auto"/>
                <w:sz w:val="21"/>
                <w:szCs w:val="21"/>
                <w:highlight w:val="none"/>
                <w:lang w:val="en-US"/>
              </w:rPr>
            </w:pPr>
          </w:p>
        </w:tc>
        <w:tc>
          <w:tcPr>
            <w:tcW w:w="1900" w:type="dxa"/>
            <w:vAlign w:val="center"/>
          </w:tcPr>
          <w:p w14:paraId="31637304">
            <w:pPr>
              <w:pStyle w:val="8"/>
              <w:spacing w:before="0" w:line="360" w:lineRule="auto"/>
              <w:ind w:left="0"/>
              <w:jc w:val="center"/>
              <w:rPr>
                <w:color w:val="auto"/>
                <w:sz w:val="21"/>
                <w:szCs w:val="21"/>
                <w:highlight w:val="none"/>
                <w:lang w:val="en-US"/>
              </w:rPr>
            </w:pPr>
          </w:p>
        </w:tc>
        <w:tc>
          <w:tcPr>
            <w:tcW w:w="647" w:type="dxa"/>
            <w:vAlign w:val="center"/>
          </w:tcPr>
          <w:p w14:paraId="09C912CC">
            <w:pPr>
              <w:pStyle w:val="8"/>
              <w:spacing w:before="0" w:line="360" w:lineRule="auto"/>
              <w:ind w:left="0"/>
              <w:jc w:val="center"/>
              <w:rPr>
                <w:color w:val="auto"/>
                <w:sz w:val="21"/>
                <w:szCs w:val="21"/>
                <w:highlight w:val="none"/>
                <w:lang w:val="en-US"/>
              </w:rPr>
            </w:pPr>
          </w:p>
        </w:tc>
        <w:tc>
          <w:tcPr>
            <w:tcW w:w="1386" w:type="dxa"/>
            <w:vAlign w:val="center"/>
          </w:tcPr>
          <w:p w14:paraId="2FC937EC">
            <w:pPr>
              <w:pStyle w:val="8"/>
              <w:spacing w:before="0" w:line="360" w:lineRule="auto"/>
              <w:ind w:left="0"/>
              <w:jc w:val="center"/>
              <w:rPr>
                <w:color w:val="auto"/>
                <w:sz w:val="21"/>
                <w:szCs w:val="21"/>
                <w:highlight w:val="none"/>
                <w:lang w:val="en-US"/>
              </w:rPr>
            </w:pPr>
          </w:p>
        </w:tc>
        <w:tc>
          <w:tcPr>
            <w:tcW w:w="529" w:type="dxa"/>
            <w:vAlign w:val="center"/>
          </w:tcPr>
          <w:p w14:paraId="11929D7B">
            <w:pPr>
              <w:pStyle w:val="8"/>
              <w:spacing w:before="0" w:line="360" w:lineRule="auto"/>
              <w:ind w:left="0"/>
              <w:jc w:val="center"/>
              <w:rPr>
                <w:color w:val="auto"/>
                <w:sz w:val="21"/>
                <w:szCs w:val="21"/>
                <w:highlight w:val="none"/>
                <w:lang w:val="en-US"/>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6F4B639B">
            <w:pPr>
              <w:pStyle w:val="8"/>
              <w:spacing w:before="0" w:line="360" w:lineRule="auto"/>
              <w:ind w:left="0"/>
              <w:jc w:val="center"/>
              <w:rPr>
                <w:color w:val="auto"/>
                <w:sz w:val="21"/>
                <w:szCs w:val="21"/>
                <w:highlight w:val="none"/>
                <w:lang w:val="en-US"/>
              </w:rPr>
            </w:pPr>
          </w:p>
        </w:tc>
        <w:tc>
          <w:tcPr>
            <w:tcW w:w="814" w:type="dxa"/>
            <w:vAlign w:val="center"/>
          </w:tcPr>
          <w:p w14:paraId="3C54C88B">
            <w:pPr>
              <w:pStyle w:val="8"/>
              <w:spacing w:before="0" w:line="360" w:lineRule="auto"/>
              <w:ind w:left="0"/>
              <w:jc w:val="center"/>
              <w:rPr>
                <w:color w:val="auto"/>
                <w:sz w:val="21"/>
                <w:szCs w:val="21"/>
                <w:highlight w:val="none"/>
                <w:lang w:val="en-US"/>
              </w:rPr>
            </w:pPr>
          </w:p>
        </w:tc>
        <w:tc>
          <w:tcPr>
            <w:tcW w:w="1900" w:type="dxa"/>
            <w:vAlign w:val="center"/>
          </w:tcPr>
          <w:p w14:paraId="141EF723">
            <w:pPr>
              <w:pStyle w:val="8"/>
              <w:spacing w:before="0" w:line="360" w:lineRule="auto"/>
              <w:ind w:left="0"/>
              <w:jc w:val="center"/>
              <w:rPr>
                <w:color w:val="auto"/>
                <w:sz w:val="21"/>
                <w:szCs w:val="21"/>
                <w:highlight w:val="none"/>
                <w:lang w:val="en-US"/>
              </w:rPr>
            </w:pPr>
          </w:p>
        </w:tc>
        <w:tc>
          <w:tcPr>
            <w:tcW w:w="1900" w:type="dxa"/>
            <w:vAlign w:val="center"/>
          </w:tcPr>
          <w:p w14:paraId="4C69DBCB">
            <w:pPr>
              <w:pStyle w:val="8"/>
              <w:spacing w:before="0" w:line="360" w:lineRule="auto"/>
              <w:ind w:left="0"/>
              <w:jc w:val="center"/>
              <w:rPr>
                <w:color w:val="auto"/>
                <w:sz w:val="21"/>
                <w:szCs w:val="21"/>
                <w:highlight w:val="none"/>
                <w:lang w:val="en-US"/>
              </w:rPr>
            </w:pPr>
          </w:p>
        </w:tc>
        <w:tc>
          <w:tcPr>
            <w:tcW w:w="647" w:type="dxa"/>
            <w:vAlign w:val="center"/>
          </w:tcPr>
          <w:p w14:paraId="47CD6093">
            <w:pPr>
              <w:pStyle w:val="8"/>
              <w:spacing w:before="0" w:line="360" w:lineRule="auto"/>
              <w:ind w:left="0"/>
              <w:jc w:val="center"/>
              <w:rPr>
                <w:color w:val="auto"/>
                <w:sz w:val="21"/>
                <w:szCs w:val="21"/>
                <w:highlight w:val="none"/>
                <w:lang w:val="en-US"/>
              </w:rPr>
            </w:pPr>
          </w:p>
        </w:tc>
        <w:tc>
          <w:tcPr>
            <w:tcW w:w="1386" w:type="dxa"/>
            <w:vAlign w:val="center"/>
          </w:tcPr>
          <w:p w14:paraId="2554E769">
            <w:pPr>
              <w:pStyle w:val="8"/>
              <w:spacing w:before="0" w:line="360" w:lineRule="auto"/>
              <w:ind w:left="0"/>
              <w:jc w:val="center"/>
              <w:rPr>
                <w:color w:val="auto"/>
                <w:sz w:val="21"/>
                <w:szCs w:val="21"/>
                <w:highlight w:val="none"/>
                <w:lang w:val="en-US"/>
              </w:rPr>
            </w:pPr>
          </w:p>
        </w:tc>
        <w:tc>
          <w:tcPr>
            <w:tcW w:w="529" w:type="dxa"/>
            <w:vAlign w:val="center"/>
          </w:tcPr>
          <w:p w14:paraId="014541C8">
            <w:pPr>
              <w:pStyle w:val="8"/>
              <w:spacing w:before="0" w:line="360" w:lineRule="auto"/>
              <w:ind w:left="0"/>
              <w:jc w:val="center"/>
              <w:rPr>
                <w:color w:val="auto"/>
                <w:sz w:val="21"/>
                <w:szCs w:val="21"/>
                <w:highlight w:val="none"/>
                <w:lang w:val="en-US"/>
              </w:rPr>
            </w:pPr>
          </w:p>
        </w:tc>
      </w:tr>
    </w:tbl>
    <w:p w14:paraId="38DCF079">
      <w:pPr>
        <w:pStyle w:val="8"/>
        <w:rPr>
          <w:color w:val="auto"/>
          <w:sz w:val="21"/>
          <w:szCs w:val="21"/>
          <w:highlight w:val="none"/>
          <w:lang w:val="en-US"/>
        </w:rPr>
      </w:pPr>
    </w:p>
    <w:p w14:paraId="00CBD2C4">
      <w:pPr>
        <w:rPr>
          <w:color w:val="auto"/>
          <w:szCs w:val="21"/>
          <w:highlight w:val="none"/>
        </w:rPr>
      </w:pPr>
    </w:p>
    <w:p w14:paraId="01FE7D71">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20FF448">
      <w:pPr>
        <w:pStyle w:val="8"/>
        <w:autoSpaceDE w:val="0"/>
        <w:autoSpaceDN w:val="0"/>
        <w:spacing w:before="0" w:line="360" w:lineRule="auto"/>
        <w:ind w:left="0" w:firstLine="420" w:firstLineChars="200"/>
        <w:rPr>
          <w:color w:val="auto"/>
          <w:sz w:val="21"/>
          <w:szCs w:val="21"/>
          <w:highlight w:val="none"/>
          <w:lang w:val="en-US"/>
        </w:rPr>
      </w:pPr>
    </w:p>
    <w:p w14:paraId="3FF8714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71CAAF98">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7953E7A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E20D5D7">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B48ADAD">
      <w:pPr>
        <w:rPr>
          <w:b/>
          <w:bCs/>
          <w:color w:val="auto"/>
          <w:sz w:val="24"/>
          <w:highlight w:val="none"/>
        </w:rPr>
      </w:pPr>
      <w:r>
        <w:rPr>
          <w:rFonts w:hint="eastAsia"/>
          <w:b/>
          <w:bCs/>
          <w:color w:val="auto"/>
          <w:sz w:val="24"/>
          <w:highlight w:val="none"/>
        </w:rPr>
        <w:t>格式十三：</w:t>
      </w:r>
    </w:p>
    <w:p w14:paraId="75249257">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59F62C0E">
      <w:pPr>
        <w:pStyle w:val="8"/>
        <w:spacing w:before="8"/>
        <w:rPr>
          <w:color w:val="auto"/>
          <w:sz w:val="13"/>
          <w:highlight w:val="none"/>
        </w:rPr>
      </w:pPr>
    </w:p>
    <w:p w14:paraId="0F65AC52">
      <w:pPr>
        <w:jc w:val="center"/>
        <w:rPr>
          <w:rFonts w:hint="eastAsia"/>
          <w:b/>
          <w:bCs/>
          <w:color w:val="auto"/>
          <w:sz w:val="24"/>
          <w:highlight w:val="none"/>
        </w:rPr>
      </w:pPr>
      <w:bookmarkStart w:id="193" w:name="_Toc20098"/>
      <w:bookmarkStart w:id="194" w:name="_Toc792"/>
      <w:r>
        <w:rPr>
          <w:rFonts w:hint="eastAsia"/>
          <w:b/>
          <w:bCs/>
          <w:color w:val="auto"/>
          <w:sz w:val="24"/>
          <w:highlight w:val="none"/>
        </w:rPr>
        <w:t>履约进度计划表</w:t>
      </w:r>
      <w:bookmarkEnd w:id="193"/>
      <w:bookmarkEnd w:id="194"/>
    </w:p>
    <w:p w14:paraId="5B40F7BC">
      <w:pPr>
        <w:pStyle w:val="8"/>
        <w:spacing w:before="2" w:after="1"/>
        <w:rPr>
          <w:b/>
          <w:color w:val="auto"/>
          <w:sz w:val="17"/>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21B4BD4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B7E3050">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91ADF81">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3D0C12FA">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A0166EC">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5138CBC4">
            <w:pPr>
              <w:pStyle w:val="30"/>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3209312">
            <w:pPr>
              <w:pStyle w:val="30"/>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44CFA2">
            <w:pPr>
              <w:pStyle w:val="30"/>
              <w:spacing w:line="360" w:lineRule="auto"/>
              <w:rPr>
                <w:rFonts w:ascii="宋体" w:hAnsi="宋体" w:cs="宋体"/>
                <w:color w:val="auto"/>
                <w:szCs w:val="21"/>
                <w:highlight w:val="none"/>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81BBB34">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201C92B2">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5A13AB99">
            <w:pPr>
              <w:pStyle w:val="30"/>
              <w:spacing w:line="360" w:lineRule="auto"/>
              <w:rPr>
                <w:rFonts w:ascii="宋体" w:hAnsi="宋体" w:cs="宋体"/>
                <w:color w:val="auto"/>
                <w:szCs w:val="21"/>
                <w:highlight w:val="none"/>
              </w:rPr>
            </w:pPr>
          </w:p>
        </w:tc>
        <w:tc>
          <w:tcPr>
            <w:tcW w:w="1354" w:type="pct"/>
            <w:shd w:val="clear" w:color="auto" w:fill="FFFFFF" w:themeFill="background1"/>
          </w:tcPr>
          <w:p w14:paraId="76DB83D6">
            <w:pPr>
              <w:pStyle w:val="30"/>
              <w:spacing w:line="360" w:lineRule="auto"/>
              <w:rPr>
                <w:rFonts w:ascii="宋体" w:hAnsi="宋体" w:cs="宋体"/>
                <w:color w:val="auto"/>
                <w:szCs w:val="21"/>
                <w:highlight w:val="none"/>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5D12FA">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CD52179">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AAF4A77">
            <w:pPr>
              <w:pStyle w:val="30"/>
              <w:spacing w:line="360" w:lineRule="auto"/>
              <w:rPr>
                <w:rFonts w:ascii="宋体" w:hAnsi="宋体" w:cs="宋体"/>
                <w:color w:val="auto"/>
                <w:szCs w:val="21"/>
                <w:highlight w:val="none"/>
              </w:rPr>
            </w:pPr>
          </w:p>
        </w:tc>
        <w:tc>
          <w:tcPr>
            <w:tcW w:w="1354" w:type="pct"/>
            <w:shd w:val="clear" w:color="auto" w:fill="FFFFFF" w:themeFill="background1"/>
          </w:tcPr>
          <w:p w14:paraId="370D0D07">
            <w:pPr>
              <w:pStyle w:val="30"/>
              <w:spacing w:line="360" w:lineRule="auto"/>
              <w:rPr>
                <w:rFonts w:ascii="宋体" w:hAnsi="宋体" w:cs="宋体"/>
                <w:color w:val="auto"/>
                <w:szCs w:val="21"/>
                <w:highlight w:val="none"/>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8B17E00">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63A8CFC5">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C0D4F1B">
            <w:pPr>
              <w:pStyle w:val="30"/>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1A85BF25">
            <w:pPr>
              <w:pStyle w:val="30"/>
              <w:spacing w:line="360" w:lineRule="auto"/>
              <w:rPr>
                <w:rFonts w:ascii="宋体" w:hAnsi="宋体" w:cs="宋体"/>
                <w:color w:val="auto"/>
                <w:szCs w:val="21"/>
                <w:highlight w:val="none"/>
              </w:rPr>
            </w:pPr>
          </w:p>
        </w:tc>
      </w:tr>
    </w:tbl>
    <w:p w14:paraId="37ADC3C4">
      <w:pPr>
        <w:rPr>
          <w:color w:val="auto"/>
          <w:highlight w:val="none"/>
        </w:rPr>
      </w:pPr>
      <w:r>
        <w:rPr>
          <w:rFonts w:hint="eastAsia"/>
          <w:color w:val="auto"/>
          <w:highlight w:val="none"/>
        </w:rPr>
        <w:br w:type="page"/>
      </w:r>
    </w:p>
    <w:p w14:paraId="2ACE1A75">
      <w:pPr>
        <w:rPr>
          <w:b/>
          <w:bCs/>
          <w:color w:val="auto"/>
          <w:sz w:val="24"/>
          <w:szCs w:val="32"/>
          <w:highlight w:val="none"/>
        </w:rPr>
      </w:pPr>
      <w:bookmarkStart w:id="195" w:name="_Toc6454"/>
      <w:bookmarkStart w:id="196" w:name="_Toc2912"/>
      <w:r>
        <w:rPr>
          <w:rFonts w:hint="eastAsia"/>
          <w:b/>
          <w:bCs/>
          <w:color w:val="auto"/>
          <w:sz w:val="24"/>
          <w:szCs w:val="32"/>
          <w:highlight w:val="none"/>
        </w:rPr>
        <w:t>格式十四：</w:t>
      </w:r>
      <w:bookmarkEnd w:id="195"/>
      <w:bookmarkEnd w:id="196"/>
    </w:p>
    <w:p w14:paraId="0281CF3B">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96FC7EF">
      <w:pPr>
        <w:rPr>
          <w:color w:val="auto"/>
          <w:sz w:val="20"/>
          <w:szCs w:val="20"/>
          <w:highlight w:val="none"/>
        </w:rPr>
      </w:pPr>
    </w:p>
    <w:p w14:paraId="0BCD0CEE">
      <w:pPr>
        <w:pStyle w:val="8"/>
        <w:jc w:val="center"/>
        <w:rPr>
          <w:b/>
          <w:bCs/>
          <w:color w:val="auto"/>
          <w:highlight w:val="none"/>
        </w:rPr>
      </w:pPr>
      <w:r>
        <w:rPr>
          <w:b/>
          <w:bCs/>
          <w:color w:val="auto"/>
          <w:highlight w:val="none"/>
        </w:rPr>
        <w:t>各类证明材料</w:t>
      </w:r>
    </w:p>
    <w:p w14:paraId="43290606">
      <w:pPr>
        <w:pStyle w:val="8"/>
        <w:rPr>
          <w:color w:val="auto"/>
          <w:sz w:val="21"/>
          <w:szCs w:val="21"/>
          <w:highlight w:val="none"/>
        </w:rPr>
      </w:pPr>
      <w:bookmarkStart w:id="197" w:name="_Toc14808"/>
      <w:bookmarkStart w:id="198" w:name="_Toc14919"/>
      <w:r>
        <w:rPr>
          <w:rFonts w:hint="eastAsia"/>
          <w:color w:val="auto"/>
          <w:sz w:val="21"/>
          <w:szCs w:val="21"/>
          <w:highlight w:val="none"/>
        </w:rPr>
        <w:t>1、招标文件要求提供的其他资料。</w:t>
      </w:r>
      <w:bookmarkEnd w:id="197"/>
      <w:bookmarkEnd w:id="198"/>
    </w:p>
    <w:p w14:paraId="2BEB0B2C">
      <w:pPr>
        <w:pStyle w:val="8"/>
        <w:rPr>
          <w:color w:val="auto"/>
          <w:sz w:val="21"/>
          <w:szCs w:val="21"/>
          <w:highlight w:val="none"/>
        </w:rPr>
      </w:pPr>
      <w:bookmarkStart w:id="199" w:name="_Toc7938"/>
      <w:bookmarkStart w:id="200" w:name="_Toc8565"/>
      <w:r>
        <w:rPr>
          <w:rFonts w:hint="eastAsia"/>
          <w:color w:val="auto"/>
          <w:sz w:val="21"/>
          <w:szCs w:val="21"/>
          <w:highlight w:val="none"/>
        </w:rPr>
        <w:t>2、投标人认为需提供的其他资料。</w:t>
      </w:r>
      <w:bookmarkEnd w:id="199"/>
      <w:bookmarkEnd w:id="200"/>
    </w:p>
    <w:p w14:paraId="24526636">
      <w:pPr>
        <w:rPr>
          <w:rFonts w:ascii="宋体" w:hAnsi="宋体" w:cs="宋体"/>
          <w:color w:val="auto"/>
          <w:szCs w:val="21"/>
          <w:highlight w:val="none"/>
        </w:rPr>
      </w:pPr>
      <w:r>
        <w:rPr>
          <w:rFonts w:hint="eastAsia" w:ascii="宋体" w:hAnsi="宋体" w:cs="宋体"/>
          <w:color w:val="auto"/>
          <w:szCs w:val="21"/>
          <w:highlight w:val="none"/>
        </w:rPr>
        <w:br w:type="page"/>
      </w:r>
    </w:p>
    <w:p w14:paraId="33C3000C">
      <w:pPr>
        <w:rPr>
          <w:b/>
          <w:bCs/>
          <w:color w:val="auto"/>
          <w:sz w:val="24"/>
          <w:szCs w:val="32"/>
          <w:highlight w:val="none"/>
        </w:rPr>
      </w:pPr>
      <w:bookmarkStart w:id="201" w:name="_Toc30382"/>
      <w:bookmarkStart w:id="202" w:name="_Toc30406"/>
      <w:r>
        <w:rPr>
          <w:rFonts w:hint="eastAsia"/>
          <w:b/>
          <w:bCs/>
          <w:color w:val="auto"/>
          <w:sz w:val="24"/>
          <w:szCs w:val="32"/>
          <w:highlight w:val="none"/>
        </w:rPr>
        <w:t>格式十五：</w:t>
      </w:r>
      <w:bookmarkEnd w:id="201"/>
      <w:bookmarkEnd w:id="202"/>
    </w:p>
    <w:p w14:paraId="278F13EF">
      <w:pPr>
        <w:pStyle w:val="28"/>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6916DC11">
      <w:pPr>
        <w:rPr>
          <w:color w:val="auto"/>
          <w:highlight w:val="none"/>
        </w:rPr>
      </w:pPr>
    </w:p>
    <w:p w14:paraId="12AC1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4397F61D">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54C64724">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8BA4752">
      <w:pPr>
        <w:spacing w:line="360" w:lineRule="auto"/>
        <w:ind w:firstLine="420" w:firstLineChars="200"/>
        <w:rPr>
          <w:color w:val="auto"/>
          <w:highlight w:val="none"/>
        </w:rPr>
      </w:pPr>
    </w:p>
    <w:p w14:paraId="75639B16">
      <w:pPr>
        <w:spacing w:line="480" w:lineRule="auto"/>
        <w:ind w:firstLine="420" w:firstLineChars="200"/>
        <w:rPr>
          <w:color w:val="auto"/>
          <w:highlight w:val="none"/>
        </w:rPr>
      </w:pPr>
      <w:r>
        <w:rPr>
          <w:rFonts w:hint="eastAsia"/>
          <w:color w:val="auto"/>
          <w:highlight w:val="none"/>
        </w:rPr>
        <w:t>投标人法定名称（公章）：</w:t>
      </w:r>
    </w:p>
    <w:p w14:paraId="39D9AA67">
      <w:pPr>
        <w:spacing w:line="480" w:lineRule="auto"/>
        <w:ind w:firstLine="420" w:firstLineChars="200"/>
        <w:rPr>
          <w:color w:val="auto"/>
          <w:highlight w:val="none"/>
        </w:rPr>
      </w:pPr>
      <w:r>
        <w:rPr>
          <w:rFonts w:hint="eastAsia"/>
          <w:color w:val="auto"/>
          <w:highlight w:val="none"/>
        </w:rPr>
        <w:t>投标人法定地址：</w:t>
      </w:r>
    </w:p>
    <w:p w14:paraId="59783C79">
      <w:pPr>
        <w:spacing w:line="480" w:lineRule="auto"/>
        <w:ind w:firstLine="420" w:firstLineChars="200"/>
        <w:rPr>
          <w:color w:val="auto"/>
          <w:highlight w:val="none"/>
        </w:rPr>
      </w:pPr>
      <w:r>
        <w:rPr>
          <w:rFonts w:hint="eastAsia"/>
          <w:color w:val="auto"/>
          <w:highlight w:val="none"/>
        </w:rPr>
        <w:t>投标人授权代表（签字或盖章）：</w:t>
      </w:r>
    </w:p>
    <w:p w14:paraId="338BEE01">
      <w:pPr>
        <w:spacing w:line="480" w:lineRule="auto"/>
        <w:ind w:firstLine="420" w:firstLineChars="200"/>
        <w:rPr>
          <w:color w:val="auto"/>
          <w:highlight w:val="none"/>
        </w:rPr>
      </w:pPr>
      <w:r>
        <w:rPr>
          <w:rFonts w:hint="eastAsia"/>
          <w:color w:val="auto"/>
          <w:highlight w:val="none"/>
        </w:rPr>
        <w:t>电 话：</w:t>
      </w:r>
    </w:p>
    <w:p w14:paraId="6E9E6D28">
      <w:pPr>
        <w:spacing w:line="480" w:lineRule="auto"/>
        <w:ind w:firstLine="420" w:firstLineChars="200"/>
        <w:rPr>
          <w:color w:val="auto"/>
          <w:highlight w:val="none"/>
        </w:rPr>
      </w:pPr>
      <w:r>
        <w:rPr>
          <w:rFonts w:hint="eastAsia"/>
          <w:color w:val="auto"/>
          <w:highlight w:val="none"/>
        </w:rPr>
        <w:t>传 真：</w:t>
      </w:r>
    </w:p>
    <w:p w14:paraId="4A2C1BDF">
      <w:pPr>
        <w:pStyle w:val="28"/>
        <w:tabs>
          <w:tab w:val="left" w:pos="673"/>
        </w:tabs>
        <w:spacing w:line="480" w:lineRule="auto"/>
        <w:rPr>
          <w:color w:val="auto"/>
          <w:highlight w:val="none"/>
        </w:rPr>
      </w:pPr>
      <w:r>
        <w:rPr>
          <w:rFonts w:hint="eastAsia"/>
          <w:color w:val="auto"/>
          <w:highlight w:val="none"/>
        </w:rPr>
        <w:t>承诺日期：</w:t>
      </w:r>
    </w:p>
    <w:p w14:paraId="718A2664">
      <w:pPr>
        <w:rPr>
          <w:color w:val="auto"/>
          <w:highlight w:val="none"/>
        </w:rPr>
      </w:pPr>
      <w:r>
        <w:rPr>
          <w:rFonts w:hint="eastAsia"/>
          <w:color w:val="auto"/>
          <w:highlight w:val="none"/>
        </w:rPr>
        <w:br w:type="page"/>
      </w:r>
    </w:p>
    <w:p w14:paraId="0E827BC7">
      <w:pPr>
        <w:rPr>
          <w:b/>
          <w:bCs/>
          <w:color w:val="auto"/>
          <w:sz w:val="24"/>
          <w:szCs w:val="32"/>
          <w:highlight w:val="none"/>
        </w:rPr>
      </w:pPr>
      <w:bookmarkStart w:id="203" w:name="_Toc3970"/>
      <w:bookmarkStart w:id="204" w:name="_Toc22600"/>
      <w:r>
        <w:rPr>
          <w:rFonts w:hint="eastAsia"/>
          <w:b/>
          <w:bCs/>
          <w:color w:val="auto"/>
          <w:sz w:val="24"/>
          <w:szCs w:val="32"/>
          <w:highlight w:val="none"/>
        </w:rPr>
        <w:t>格式十五：</w:t>
      </w:r>
      <w:bookmarkEnd w:id="203"/>
      <w:bookmarkEnd w:id="204"/>
    </w:p>
    <w:p w14:paraId="3B6B301A">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C4FC6C8">
      <w:pPr>
        <w:pStyle w:val="8"/>
        <w:spacing w:before="8"/>
        <w:rPr>
          <w:color w:val="auto"/>
          <w:sz w:val="21"/>
          <w:szCs w:val="21"/>
          <w:highlight w:val="none"/>
        </w:rPr>
      </w:pPr>
    </w:p>
    <w:p w14:paraId="4CF50DE5">
      <w:pPr>
        <w:pStyle w:val="30"/>
        <w:autoSpaceDE w:val="0"/>
        <w:autoSpaceDN w:val="0"/>
        <w:spacing w:line="360" w:lineRule="auto"/>
        <w:jc w:val="center"/>
        <w:rPr>
          <w:rFonts w:hint="eastAsia" w:ascii="宋体" w:hAnsi="宋体" w:cs="宋体"/>
          <w:b/>
          <w:color w:val="auto"/>
          <w:szCs w:val="21"/>
          <w:highlight w:val="none"/>
        </w:rPr>
      </w:pPr>
      <w:bookmarkStart w:id="205" w:name="_Toc4401"/>
      <w:bookmarkStart w:id="206" w:name="_Toc15762"/>
      <w:r>
        <w:rPr>
          <w:rFonts w:hint="eastAsia" w:ascii="宋体" w:hAnsi="宋体" w:cs="宋体"/>
          <w:b/>
          <w:color w:val="auto"/>
          <w:szCs w:val="21"/>
          <w:highlight w:val="none"/>
        </w:rPr>
        <w:t>需要</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提供的附加条件</w:t>
      </w:r>
      <w:bookmarkEnd w:id="205"/>
      <w:bookmarkEnd w:id="206"/>
    </w:p>
    <w:p w14:paraId="598BAF8E">
      <w:pPr>
        <w:pStyle w:val="8"/>
        <w:autoSpaceDE w:val="0"/>
        <w:autoSpaceDN w:val="0"/>
        <w:spacing w:before="0" w:line="360" w:lineRule="auto"/>
        <w:ind w:left="0"/>
        <w:rPr>
          <w:b/>
          <w:color w:val="auto"/>
          <w:sz w:val="21"/>
          <w:szCs w:val="21"/>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30"/>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4BEAC092">
            <w:pPr>
              <w:pStyle w:val="30"/>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44CE0C6">
            <w:pPr>
              <w:pStyle w:val="30"/>
              <w:spacing w:line="360" w:lineRule="auto"/>
              <w:rPr>
                <w:rFonts w:ascii="宋体" w:hAnsi="宋体" w:cs="宋体"/>
                <w:color w:val="auto"/>
                <w:szCs w:val="21"/>
                <w:highlight w:val="none"/>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016ECEE8">
            <w:pPr>
              <w:pStyle w:val="30"/>
              <w:spacing w:line="360" w:lineRule="auto"/>
              <w:rPr>
                <w:rFonts w:ascii="宋体" w:hAnsi="宋体" w:cs="宋体"/>
                <w:color w:val="auto"/>
                <w:szCs w:val="21"/>
                <w:highlight w:val="none"/>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7D96B8D9">
            <w:pPr>
              <w:pStyle w:val="30"/>
              <w:spacing w:line="360" w:lineRule="auto"/>
              <w:rPr>
                <w:rFonts w:ascii="宋体" w:hAnsi="宋体" w:cs="宋体"/>
                <w:color w:val="auto"/>
                <w:szCs w:val="21"/>
                <w:highlight w:val="none"/>
              </w:rPr>
            </w:pPr>
          </w:p>
        </w:tc>
      </w:tr>
    </w:tbl>
    <w:p w14:paraId="5AE52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配合或提供的条件必须在上表列出，否则将视为投标人同意按现有条件完成本项目。如上表所列附加条件含有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不能接受的，将被视为投标无效。</w:t>
      </w:r>
    </w:p>
    <w:p w14:paraId="583DE362">
      <w:pPr>
        <w:rPr>
          <w:color w:val="auto"/>
          <w:sz w:val="20"/>
          <w:szCs w:val="20"/>
          <w:highlight w:val="none"/>
        </w:rPr>
      </w:pPr>
      <w:r>
        <w:rPr>
          <w:color w:val="auto"/>
          <w:sz w:val="20"/>
          <w:szCs w:val="20"/>
          <w:highlight w:val="none"/>
        </w:rPr>
        <w:br w:type="page"/>
      </w:r>
    </w:p>
    <w:p w14:paraId="26EF4D95">
      <w:pPr>
        <w:rPr>
          <w:b/>
          <w:bCs/>
          <w:color w:val="auto"/>
          <w:sz w:val="24"/>
          <w:szCs w:val="32"/>
          <w:highlight w:val="none"/>
          <w:lang w:val="en-US"/>
        </w:rPr>
      </w:pPr>
      <w:bookmarkStart w:id="207" w:name="_Toc25747"/>
      <w:bookmarkStart w:id="208" w:name="_Toc9656"/>
      <w:r>
        <w:rPr>
          <w:rFonts w:hint="eastAsia"/>
          <w:b/>
          <w:bCs/>
          <w:color w:val="auto"/>
          <w:sz w:val="24"/>
          <w:szCs w:val="32"/>
          <w:highlight w:val="none"/>
          <w:lang w:val="en-US"/>
        </w:rPr>
        <w:t>格式十六：</w:t>
      </w:r>
      <w:bookmarkEnd w:id="207"/>
      <w:bookmarkEnd w:id="208"/>
    </w:p>
    <w:p w14:paraId="0354B9B2">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E206BDC">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5F7A92BE">
      <w:pPr>
        <w:rPr>
          <w:color w:val="auto"/>
          <w:szCs w:val="21"/>
          <w:highlight w:val="none"/>
        </w:rPr>
      </w:pPr>
      <w:r>
        <w:rPr>
          <w:color w:val="auto"/>
          <w:szCs w:val="21"/>
          <w:highlight w:val="none"/>
        </w:rPr>
        <w:br w:type="page"/>
      </w:r>
    </w:p>
    <w:p w14:paraId="4CFA8C64">
      <w:pPr>
        <w:pStyle w:val="3"/>
        <w:rPr>
          <w:color w:val="auto"/>
          <w:highlight w:val="none"/>
        </w:rPr>
      </w:pPr>
      <w:bookmarkStart w:id="209" w:name="_Toc17641"/>
      <w:r>
        <w:rPr>
          <w:rFonts w:hint="eastAsia"/>
          <w:color w:val="auto"/>
          <w:highlight w:val="none"/>
        </w:rPr>
        <w:t>第七篇 开标文件格式</w:t>
      </w:r>
      <w:bookmarkEnd w:id="209"/>
    </w:p>
    <w:p w14:paraId="1DE31E8A">
      <w:pPr>
        <w:jc w:val="center"/>
        <w:outlineLvl w:val="1"/>
        <w:rPr>
          <w:b/>
          <w:bCs/>
          <w:color w:val="auto"/>
          <w:highlight w:val="none"/>
        </w:rPr>
      </w:pPr>
      <w:bookmarkStart w:id="210" w:name="_Toc32249"/>
      <w:bookmarkStart w:id="211" w:name="_Toc16732"/>
      <w:r>
        <w:rPr>
          <w:rFonts w:hint="eastAsia"/>
          <w:b/>
          <w:bCs/>
          <w:color w:val="auto"/>
          <w:highlight w:val="none"/>
        </w:rPr>
        <w:t>（封面格式仅供参考）</w:t>
      </w:r>
      <w:bookmarkEnd w:id="210"/>
      <w:bookmarkEnd w:id="211"/>
    </w:p>
    <w:p w14:paraId="155DF120">
      <w:pPr>
        <w:jc w:val="center"/>
        <w:rPr>
          <w:rFonts w:ascii="宋体" w:hAnsi="宋体" w:cs="宋体"/>
          <w:b/>
          <w:color w:val="auto"/>
          <w:spacing w:val="10"/>
          <w:kern w:val="0"/>
          <w:sz w:val="38"/>
          <w:szCs w:val="38"/>
          <w:highlight w:val="none"/>
          <w:lang w:val="zh-CN" w:bidi="zh-CN"/>
        </w:rPr>
      </w:pPr>
    </w:p>
    <w:p w14:paraId="50896CAC">
      <w:pPr>
        <w:jc w:val="center"/>
        <w:rPr>
          <w:rFonts w:ascii="宋体" w:hAnsi="宋体" w:cs="宋体"/>
          <w:b/>
          <w:color w:val="auto"/>
          <w:spacing w:val="10"/>
          <w:kern w:val="0"/>
          <w:sz w:val="38"/>
          <w:szCs w:val="38"/>
          <w:highlight w:val="none"/>
          <w:lang w:val="zh-CN" w:bidi="zh-CN"/>
        </w:rPr>
      </w:pPr>
    </w:p>
    <w:p w14:paraId="5E2C76E8">
      <w:pPr>
        <w:jc w:val="center"/>
        <w:rPr>
          <w:rFonts w:ascii="宋体" w:hAnsi="宋体" w:cs="宋体"/>
          <w:b/>
          <w:color w:val="auto"/>
          <w:spacing w:val="10"/>
          <w:kern w:val="0"/>
          <w:sz w:val="38"/>
          <w:szCs w:val="38"/>
          <w:highlight w:val="none"/>
          <w:lang w:val="zh-CN" w:bidi="zh-CN"/>
        </w:rPr>
      </w:pPr>
    </w:p>
    <w:p w14:paraId="421018FF">
      <w:pPr>
        <w:jc w:val="center"/>
        <w:outlineLvl w:val="2"/>
        <w:rPr>
          <w:rFonts w:ascii="宋体" w:hAnsi="宋体" w:cs="宋体"/>
          <w:b/>
          <w:color w:val="auto"/>
          <w:kern w:val="0"/>
          <w:sz w:val="38"/>
          <w:szCs w:val="38"/>
          <w:highlight w:val="none"/>
          <w:lang w:val="zh-CN" w:bidi="zh-CN"/>
        </w:rPr>
      </w:pPr>
      <w:bookmarkStart w:id="212" w:name="_Toc10015"/>
      <w:bookmarkStart w:id="213" w:name="_Toc23330"/>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12"/>
      <w:bookmarkEnd w:id="213"/>
    </w:p>
    <w:p w14:paraId="05B3A22F">
      <w:pPr>
        <w:autoSpaceDE w:val="0"/>
        <w:autoSpaceDN w:val="0"/>
        <w:spacing w:before="11"/>
        <w:jc w:val="center"/>
        <w:rPr>
          <w:rFonts w:ascii="宋体" w:hAnsi="宋体" w:cs="宋体"/>
          <w:b/>
          <w:color w:val="auto"/>
          <w:sz w:val="46"/>
          <w:szCs w:val="19"/>
          <w:highlight w:val="none"/>
          <w:lang w:val="zh-CN" w:bidi="zh-CN"/>
        </w:rPr>
      </w:pPr>
    </w:p>
    <w:p w14:paraId="15E3199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14" w:name="_Toc18186"/>
      <w:bookmarkStart w:id="215" w:name="_Toc1865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14"/>
      <w:bookmarkEnd w:id="215"/>
    </w:p>
    <w:p w14:paraId="493BC247">
      <w:pPr>
        <w:autoSpaceDE w:val="0"/>
        <w:autoSpaceDN w:val="0"/>
        <w:spacing w:line="479" w:lineRule="exact"/>
        <w:jc w:val="center"/>
        <w:rPr>
          <w:rFonts w:ascii="宋体" w:hAnsi="宋体" w:cs="宋体"/>
          <w:b/>
          <w:bCs/>
          <w:color w:val="auto"/>
          <w:sz w:val="24"/>
          <w:highlight w:val="none"/>
          <w:lang w:val="zh-CN" w:bidi="zh-CN"/>
        </w:rPr>
      </w:pPr>
    </w:p>
    <w:p w14:paraId="426CE66D">
      <w:pPr>
        <w:autoSpaceDE w:val="0"/>
        <w:autoSpaceDN w:val="0"/>
        <w:jc w:val="center"/>
        <w:rPr>
          <w:rFonts w:ascii="宋体" w:hAnsi="宋体" w:cs="宋体"/>
          <w:b/>
          <w:color w:val="auto"/>
          <w:sz w:val="28"/>
          <w:szCs w:val="19"/>
          <w:highlight w:val="none"/>
          <w:lang w:val="zh-CN" w:bidi="zh-CN"/>
        </w:rPr>
      </w:pPr>
    </w:p>
    <w:p w14:paraId="02178A14">
      <w:pPr>
        <w:autoSpaceDE w:val="0"/>
        <w:autoSpaceDN w:val="0"/>
        <w:jc w:val="center"/>
        <w:rPr>
          <w:rFonts w:ascii="宋体" w:hAnsi="宋体" w:cs="宋体"/>
          <w:b/>
          <w:color w:val="auto"/>
          <w:sz w:val="28"/>
          <w:szCs w:val="19"/>
          <w:highlight w:val="none"/>
          <w:lang w:val="zh-CN" w:bidi="zh-CN"/>
        </w:rPr>
      </w:pPr>
    </w:p>
    <w:p w14:paraId="234D3B9E">
      <w:pPr>
        <w:autoSpaceDE w:val="0"/>
        <w:autoSpaceDN w:val="0"/>
        <w:jc w:val="center"/>
        <w:rPr>
          <w:rFonts w:ascii="宋体" w:hAnsi="宋体" w:cs="宋体"/>
          <w:b/>
          <w:color w:val="auto"/>
          <w:sz w:val="28"/>
          <w:szCs w:val="19"/>
          <w:highlight w:val="none"/>
          <w:lang w:val="zh-CN" w:bidi="zh-CN"/>
        </w:rPr>
      </w:pPr>
    </w:p>
    <w:p w14:paraId="3DC94AF3">
      <w:pPr>
        <w:autoSpaceDE w:val="0"/>
        <w:autoSpaceDN w:val="0"/>
        <w:jc w:val="center"/>
        <w:rPr>
          <w:rFonts w:ascii="宋体" w:hAnsi="宋体" w:cs="宋体"/>
          <w:b/>
          <w:color w:val="auto"/>
          <w:sz w:val="28"/>
          <w:szCs w:val="19"/>
          <w:highlight w:val="none"/>
          <w:lang w:val="zh-CN" w:bidi="zh-CN"/>
        </w:rPr>
      </w:pPr>
    </w:p>
    <w:p w14:paraId="77626E21">
      <w:pPr>
        <w:autoSpaceDE w:val="0"/>
        <w:autoSpaceDN w:val="0"/>
        <w:jc w:val="center"/>
        <w:rPr>
          <w:rFonts w:ascii="宋体" w:hAnsi="宋体" w:cs="宋体"/>
          <w:b/>
          <w:color w:val="auto"/>
          <w:sz w:val="28"/>
          <w:szCs w:val="19"/>
          <w:highlight w:val="none"/>
          <w:lang w:val="zh-CN" w:bidi="zh-CN"/>
        </w:rPr>
      </w:pPr>
    </w:p>
    <w:p w14:paraId="31D85EED">
      <w:pPr>
        <w:autoSpaceDE w:val="0"/>
        <w:autoSpaceDN w:val="0"/>
        <w:jc w:val="center"/>
        <w:rPr>
          <w:rFonts w:ascii="宋体" w:hAnsi="宋体" w:cs="宋体"/>
          <w:b/>
          <w:color w:val="auto"/>
          <w:sz w:val="28"/>
          <w:szCs w:val="19"/>
          <w:highlight w:val="none"/>
          <w:lang w:val="zh-CN" w:bidi="zh-CN"/>
        </w:rPr>
      </w:pPr>
    </w:p>
    <w:p w14:paraId="01E76E60">
      <w:pPr>
        <w:autoSpaceDE w:val="0"/>
        <w:autoSpaceDN w:val="0"/>
        <w:spacing w:before="8"/>
        <w:jc w:val="center"/>
        <w:rPr>
          <w:rFonts w:ascii="宋体" w:hAnsi="宋体" w:cs="宋体"/>
          <w:b/>
          <w:color w:val="auto"/>
          <w:sz w:val="38"/>
          <w:szCs w:val="19"/>
          <w:highlight w:val="none"/>
          <w:lang w:val="zh-CN" w:bidi="zh-CN"/>
        </w:rPr>
      </w:pPr>
    </w:p>
    <w:p w14:paraId="0526B04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29C92E86">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675DEA3">
      <w:pPr>
        <w:autoSpaceDE w:val="0"/>
        <w:autoSpaceDN w:val="0"/>
        <w:jc w:val="center"/>
        <w:rPr>
          <w:rFonts w:ascii="宋体" w:hAnsi="宋体" w:cs="宋体"/>
          <w:b/>
          <w:color w:val="auto"/>
          <w:sz w:val="24"/>
          <w:szCs w:val="19"/>
          <w:highlight w:val="none"/>
          <w:lang w:val="zh-CN" w:bidi="zh-CN"/>
        </w:rPr>
      </w:pPr>
    </w:p>
    <w:p w14:paraId="2F1D4B06">
      <w:pPr>
        <w:autoSpaceDE w:val="0"/>
        <w:autoSpaceDN w:val="0"/>
        <w:jc w:val="center"/>
        <w:rPr>
          <w:rFonts w:ascii="宋体" w:hAnsi="宋体" w:cs="宋体"/>
          <w:b/>
          <w:color w:val="auto"/>
          <w:sz w:val="24"/>
          <w:szCs w:val="19"/>
          <w:highlight w:val="none"/>
          <w:lang w:val="zh-CN" w:bidi="zh-CN"/>
        </w:rPr>
      </w:pPr>
    </w:p>
    <w:p w14:paraId="58770233">
      <w:pPr>
        <w:autoSpaceDE w:val="0"/>
        <w:autoSpaceDN w:val="0"/>
        <w:jc w:val="center"/>
        <w:rPr>
          <w:rFonts w:ascii="宋体" w:hAnsi="宋体" w:cs="宋体"/>
          <w:b/>
          <w:color w:val="auto"/>
          <w:sz w:val="24"/>
          <w:szCs w:val="19"/>
          <w:highlight w:val="none"/>
          <w:lang w:val="zh-CN" w:bidi="zh-CN"/>
        </w:rPr>
      </w:pPr>
    </w:p>
    <w:p w14:paraId="252F4E99">
      <w:pPr>
        <w:autoSpaceDE w:val="0"/>
        <w:autoSpaceDN w:val="0"/>
        <w:jc w:val="center"/>
        <w:rPr>
          <w:rFonts w:ascii="宋体" w:hAnsi="宋体" w:cs="宋体"/>
          <w:b/>
          <w:color w:val="auto"/>
          <w:sz w:val="24"/>
          <w:szCs w:val="19"/>
          <w:highlight w:val="none"/>
          <w:lang w:val="zh-CN" w:bidi="zh-CN"/>
        </w:rPr>
      </w:pPr>
    </w:p>
    <w:p w14:paraId="1F5C111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67E1BCE">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A3918DF">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3079F9BD">
      <w:pPr>
        <w:pStyle w:val="8"/>
        <w:spacing w:before="0" w:line="360" w:lineRule="auto"/>
        <w:ind w:left="0"/>
        <w:outlineLvl w:val="1"/>
        <w:rPr>
          <w:b/>
          <w:bCs/>
          <w:color w:val="auto"/>
          <w:sz w:val="21"/>
          <w:szCs w:val="21"/>
          <w:highlight w:val="none"/>
          <w:lang w:val="en-US"/>
        </w:rPr>
      </w:pPr>
      <w:bookmarkStart w:id="216" w:name="_Toc21787"/>
      <w:bookmarkStart w:id="217" w:name="_Toc32100"/>
      <w:r>
        <w:rPr>
          <w:rFonts w:hint="eastAsia"/>
          <w:b/>
          <w:bCs/>
          <w:color w:val="auto"/>
          <w:sz w:val="21"/>
          <w:szCs w:val="21"/>
          <w:highlight w:val="none"/>
          <w:lang w:val="en-US"/>
        </w:rPr>
        <w:t>1、开标一览表</w:t>
      </w:r>
      <w:bookmarkEnd w:id="216"/>
      <w:bookmarkEnd w:id="217"/>
    </w:p>
    <w:p w14:paraId="70C08169">
      <w:pPr>
        <w:spacing w:line="360" w:lineRule="auto"/>
        <w:outlineLvl w:val="1"/>
        <w:rPr>
          <w:rFonts w:ascii="宋体" w:hAnsi="宋体" w:cs="宋体"/>
          <w:b/>
          <w:bCs/>
          <w:color w:val="auto"/>
          <w:szCs w:val="21"/>
          <w:highlight w:val="none"/>
        </w:rPr>
      </w:pPr>
      <w:bookmarkStart w:id="218" w:name="_Toc8054"/>
      <w:bookmarkStart w:id="219" w:name="_Toc23536"/>
      <w:r>
        <w:rPr>
          <w:rFonts w:hint="eastAsia" w:ascii="宋体" w:hAnsi="宋体" w:cs="宋体"/>
          <w:b/>
          <w:bCs/>
          <w:color w:val="auto"/>
          <w:szCs w:val="21"/>
          <w:highlight w:val="none"/>
        </w:rPr>
        <w:t>2、分项报价表</w:t>
      </w:r>
      <w:bookmarkEnd w:id="218"/>
      <w:bookmarkEnd w:id="219"/>
    </w:p>
    <w:p w14:paraId="3CF8165F">
      <w:pPr>
        <w:pStyle w:val="8"/>
        <w:spacing w:before="0" w:line="360" w:lineRule="auto"/>
        <w:ind w:left="0"/>
        <w:outlineLvl w:val="1"/>
        <w:rPr>
          <w:b/>
          <w:bCs/>
          <w:color w:val="auto"/>
          <w:sz w:val="21"/>
          <w:szCs w:val="21"/>
          <w:highlight w:val="none"/>
          <w:lang w:val="en-US"/>
        </w:rPr>
      </w:pPr>
      <w:bookmarkStart w:id="220" w:name="_Toc286"/>
      <w:bookmarkStart w:id="221" w:name="_Toc5011"/>
      <w:r>
        <w:rPr>
          <w:rFonts w:hint="eastAsia"/>
          <w:b/>
          <w:bCs/>
          <w:color w:val="auto"/>
          <w:sz w:val="21"/>
          <w:szCs w:val="21"/>
          <w:highlight w:val="none"/>
          <w:lang w:val="en-US"/>
        </w:rPr>
        <w:t>3、法定代表人证明书</w:t>
      </w:r>
      <w:bookmarkEnd w:id="220"/>
      <w:bookmarkEnd w:id="221"/>
    </w:p>
    <w:p w14:paraId="225302A8">
      <w:pPr>
        <w:pStyle w:val="8"/>
        <w:spacing w:before="0" w:line="360" w:lineRule="auto"/>
        <w:ind w:left="0"/>
        <w:outlineLvl w:val="1"/>
        <w:rPr>
          <w:b/>
          <w:bCs/>
          <w:color w:val="auto"/>
          <w:sz w:val="21"/>
          <w:szCs w:val="21"/>
          <w:highlight w:val="none"/>
          <w:lang w:val="en-US"/>
        </w:rPr>
      </w:pPr>
      <w:bookmarkStart w:id="222" w:name="_Toc28673"/>
      <w:bookmarkStart w:id="223" w:name="_Toc27439"/>
      <w:r>
        <w:rPr>
          <w:rFonts w:hint="eastAsia"/>
          <w:b/>
          <w:bCs/>
          <w:color w:val="auto"/>
          <w:sz w:val="21"/>
          <w:szCs w:val="21"/>
          <w:highlight w:val="none"/>
          <w:lang w:val="en-US"/>
        </w:rPr>
        <w:t>4、法定代表人授权书</w:t>
      </w:r>
      <w:bookmarkEnd w:id="222"/>
      <w:bookmarkEnd w:id="223"/>
    </w:p>
    <w:p w14:paraId="626F2034">
      <w:pPr>
        <w:spacing w:line="360" w:lineRule="auto"/>
        <w:outlineLvl w:val="1"/>
        <w:rPr>
          <w:rFonts w:ascii="宋体" w:hAnsi="宋体" w:cs="宋体"/>
          <w:b/>
          <w:bCs/>
          <w:color w:val="auto"/>
          <w:szCs w:val="21"/>
          <w:highlight w:val="none"/>
        </w:rPr>
      </w:pPr>
      <w:bookmarkStart w:id="224" w:name="_Toc16304"/>
      <w:bookmarkStart w:id="225" w:name="_Toc9668"/>
      <w:r>
        <w:rPr>
          <w:rFonts w:hint="eastAsia" w:ascii="宋体" w:hAnsi="宋体" w:cs="宋体"/>
          <w:b/>
          <w:bCs/>
          <w:color w:val="auto"/>
          <w:szCs w:val="21"/>
          <w:highlight w:val="none"/>
        </w:rPr>
        <w:t>5、投标保证金</w:t>
      </w:r>
      <w:bookmarkEnd w:id="224"/>
      <w:bookmarkEnd w:id="225"/>
    </w:p>
    <w:p w14:paraId="15E7D1C4">
      <w:pPr>
        <w:rPr>
          <w:color w:val="auto"/>
          <w:highlight w:val="none"/>
        </w:rPr>
      </w:pPr>
    </w:p>
    <w:p w14:paraId="7D126FA2">
      <w:pPr>
        <w:pStyle w:val="8"/>
        <w:rPr>
          <w:color w:val="auto"/>
          <w:highlight w:val="none"/>
          <w:lang w:val="en-US"/>
        </w:rPr>
      </w:pPr>
    </w:p>
    <w:p w14:paraId="64EF61F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w:t>
      </w:r>
      <w:r>
        <w:rPr>
          <w:rFonts w:hint="eastAsia" w:ascii="宋体" w:hAnsi="宋体"/>
          <w:color w:val="auto"/>
          <w:szCs w:val="21"/>
          <w:highlight w:val="none"/>
          <w:lang w:eastAsia="zh-CN"/>
        </w:rPr>
        <w:t>采购代理机构</w:t>
      </w:r>
      <w:r>
        <w:rPr>
          <w:rFonts w:hint="eastAsia" w:ascii="宋体" w:hAnsi="宋体"/>
          <w:color w:val="auto"/>
          <w:szCs w:val="21"/>
          <w:highlight w:val="none"/>
        </w:rPr>
        <w:t>。</w:t>
      </w:r>
    </w:p>
    <w:p w14:paraId="4053CC18">
      <w:pPr>
        <w:rPr>
          <w:rFonts w:ascii="宋体" w:hAnsi="宋体"/>
          <w:color w:val="auto"/>
          <w:szCs w:val="21"/>
          <w:highlight w:val="none"/>
        </w:rPr>
      </w:pPr>
      <w:r>
        <w:rPr>
          <w:rFonts w:hint="eastAsia" w:ascii="宋体" w:hAnsi="宋体"/>
          <w:color w:val="auto"/>
          <w:szCs w:val="21"/>
          <w:highlight w:val="none"/>
        </w:rPr>
        <w:br w:type="page"/>
      </w:r>
    </w:p>
    <w:p w14:paraId="62E82AE7">
      <w:pPr>
        <w:pStyle w:val="3"/>
        <w:rPr>
          <w:color w:val="auto"/>
          <w:highlight w:val="none"/>
        </w:rPr>
      </w:pPr>
      <w:bookmarkStart w:id="226" w:name="_Toc25636"/>
      <w:r>
        <w:rPr>
          <w:rFonts w:hint="eastAsia"/>
          <w:color w:val="auto"/>
          <w:highlight w:val="none"/>
        </w:rPr>
        <w:t>第八篇 其它文件格式（如有需要）</w:t>
      </w:r>
      <w:bookmarkEnd w:id="226"/>
    </w:p>
    <w:p w14:paraId="5FB16596">
      <w:pPr>
        <w:rPr>
          <w:b/>
          <w:bCs/>
          <w:color w:val="auto"/>
          <w:highlight w:val="none"/>
        </w:rPr>
      </w:pPr>
      <w:r>
        <w:rPr>
          <w:rFonts w:hint="eastAsia"/>
          <w:b/>
          <w:bCs/>
          <w:color w:val="auto"/>
          <w:highlight w:val="none"/>
        </w:rPr>
        <w:t>格式一：</w:t>
      </w:r>
    </w:p>
    <w:p w14:paraId="52BA56B1">
      <w:pPr>
        <w:jc w:val="center"/>
        <w:rPr>
          <w:b/>
          <w:bCs/>
          <w:color w:val="auto"/>
          <w:highlight w:val="none"/>
        </w:rPr>
      </w:pPr>
      <w:r>
        <w:rPr>
          <w:b/>
          <w:bCs/>
          <w:color w:val="auto"/>
          <w:highlight w:val="none"/>
        </w:rPr>
        <w:t>询问函、质疑函格式</w:t>
      </w:r>
    </w:p>
    <w:p w14:paraId="625A1C9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48D45469">
      <w:pPr>
        <w:jc w:val="center"/>
        <w:rPr>
          <w:b/>
          <w:bCs/>
          <w:color w:val="auto"/>
          <w:highlight w:val="none"/>
        </w:rPr>
      </w:pPr>
      <w:r>
        <w:rPr>
          <w:b/>
          <w:bCs/>
          <w:color w:val="auto"/>
          <w:highlight w:val="none"/>
        </w:rPr>
        <w:t>询问函</w:t>
      </w:r>
    </w:p>
    <w:p w14:paraId="241E48C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DC80D4">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7D5C9D68">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188EF8E">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EFA2BF7">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784DE67E">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50BAC9D">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136C08EE">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EB5BF27">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7640379">
      <w:pPr>
        <w:pStyle w:val="8"/>
        <w:tabs>
          <w:tab w:val="left" w:pos="10713"/>
        </w:tabs>
        <w:autoSpaceDE w:val="0"/>
        <w:autoSpaceDN w:val="0"/>
        <w:spacing w:before="0" w:line="360" w:lineRule="auto"/>
        <w:ind w:left="0" w:firstLine="420" w:firstLineChars="200"/>
        <w:rPr>
          <w:color w:val="auto"/>
          <w:sz w:val="21"/>
          <w:szCs w:val="21"/>
          <w:highlight w:val="none"/>
        </w:rPr>
      </w:pPr>
    </w:p>
    <w:p w14:paraId="5AB367BC">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A8C4D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17F0F9CF">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2D6D5ADE">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5B5D0175">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38C5279B">
      <w:pPr>
        <w:rPr>
          <w:color w:val="auto"/>
          <w:szCs w:val="21"/>
          <w:highlight w:val="none"/>
        </w:rPr>
      </w:pPr>
      <w:r>
        <w:rPr>
          <w:color w:val="auto"/>
          <w:szCs w:val="21"/>
          <w:highlight w:val="none"/>
        </w:rPr>
        <w:br w:type="page"/>
      </w:r>
    </w:p>
    <w:p w14:paraId="772F662A">
      <w:pPr>
        <w:jc w:val="center"/>
        <w:rPr>
          <w:b/>
          <w:bCs/>
          <w:color w:val="auto"/>
          <w:highlight w:val="none"/>
        </w:rPr>
      </w:pPr>
      <w:r>
        <w:rPr>
          <w:b/>
          <w:bCs/>
          <w:color w:val="auto"/>
          <w:highlight w:val="none"/>
        </w:rPr>
        <w:t>质疑函</w:t>
      </w:r>
    </w:p>
    <w:p w14:paraId="29AE96E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71A938ED">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3986F8">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581DEC6A">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D6DD6D4">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B640C97">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0495C475">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671DB93">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66CABCE2">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8D446C">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50BF2366">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2EC8EC9F">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9EC37E3">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62FCE060">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6EFE144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5D651DB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68FA0B">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A731C48">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1EF72C57">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10E48AFB">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26B6063">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C4B9AAD">
      <w:pPr>
        <w:pStyle w:val="8"/>
        <w:autoSpaceDE w:val="0"/>
        <w:autoSpaceDN w:val="0"/>
        <w:spacing w:line="360" w:lineRule="auto"/>
        <w:ind w:left="0" w:firstLine="420" w:firstLineChars="200"/>
        <w:rPr>
          <w:color w:val="auto"/>
          <w:sz w:val="21"/>
          <w:szCs w:val="21"/>
          <w:highlight w:val="none"/>
        </w:rPr>
      </w:pPr>
    </w:p>
    <w:p w14:paraId="5C3DBDEB">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7C09E5D0">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77993E75">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1586D180">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1BADBBE9">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4CFFFB9">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28E8CC85">
      <w:pPr>
        <w:pStyle w:val="28"/>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A620F40">
      <w:pPr>
        <w:rPr>
          <w:color w:val="auto"/>
          <w:szCs w:val="21"/>
          <w:highlight w:val="none"/>
        </w:rPr>
      </w:pPr>
      <w:r>
        <w:rPr>
          <w:color w:val="auto"/>
          <w:szCs w:val="21"/>
          <w:highlight w:val="none"/>
        </w:rPr>
        <w:br w:type="page"/>
      </w:r>
    </w:p>
    <w:p w14:paraId="2EBA7319">
      <w:pPr>
        <w:pStyle w:val="8"/>
        <w:rPr>
          <w:b/>
          <w:bCs/>
          <w:color w:val="auto"/>
          <w:highlight w:val="none"/>
        </w:rPr>
      </w:pPr>
      <w:r>
        <w:rPr>
          <w:rFonts w:hint="eastAsia"/>
          <w:b/>
          <w:bCs/>
          <w:color w:val="auto"/>
          <w:highlight w:val="none"/>
        </w:rPr>
        <w:t>格式二：</w:t>
      </w:r>
    </w:p>
    <w:p w14:paraId="0C1EA596">
      <w:pPr>
        <w:jc w:val="center"/>
        <w:rPr>
          <w:b/>
          <w:bCs/>
          <w:color w:val="auto"/>
          <w:highlight w:val="none"/>
        </w:rPr>
      </w:pPr>
      <w:r>
        <w:rPr>
          <w:rFonts w:hint="eastAsia"/>
          <w:b/>
          <w:bCs/>
          <w:color w:val="auto"/>
          <w:highlight w:val="none"/>
        </w:rPr>
        <w:t>投标担保函</w:t>
      </w:r>
    </w:p>
    <w:p w14:paraId="515B2A3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638974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3FBC1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6116FD3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C8A37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61B38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签订合同；</w:t>
      </w:r>
    </w:p>
    <w:p w14:paraId="089C7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6E2794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489560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40500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1D0F0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9A50C5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663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7F04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814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20EC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3070C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36EB8F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79999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4ABD3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4CB373E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7842D54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2D39FEE4">
      <w:pPr>
        <w:spacing w:line="360" w:lineRule="auto"/>
        <w:rPr>
          <w:rFonts w:ascii="宋体" w:hAnsi="宋体"/>
          <w:color w:val="auto"/>
          <w:szCs w:val="21"/>
          <w:highlight w:val="none"/>
        </w:rPr>
      </w:pPr>
      <w:r>
        <w:rPr>
          <w:rFonts w:hint="eastAsia" w:ascii="宋体" w:hAnsi="宋体"/>
          <w:color w:val="auto"/>
          <w:szCs w:val="21"/>
          <w:highlight w:val="none"/>
        </w:rPr>
        <w:t>注：</w:t>
      </w:r>
    </w:p>
    <w:p w14:paraId="2852F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3E54DA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w:t>
      </w:r>
      <w:r>
        <w:rPr>
          <w:rFonts w:hint="eastAsia" w:ascii="宋体" w:hAnsi="宋体"/>
          <w:color w:val="auto"/>
          <w:szCs w:val="21"/>
          <w:highlight w:val="none"/>
          <w:lang w:eastAsia="zh-CN"/>
        </w:rPr>
        <w:t>采购代理机构</w:t>
      </w:r>
      <w:r>
        <w:rPr>
          <w:rFonts w:hint="eastAsia" w:ascii="宋体" w:hAnsi="宋体"/>
          <w:color w:val="auto"/>
          <w:szCs w:val="21"/>
          <w:highlight w:val="none"/>
        </w:rPr>
        <w:t>。</w:t>
      </w:r>
    </w:p>
    <w:p w14:paraId="1EE9656B">
      <w:pPr>
        <w:rPr>
          <w:rFonts w:ascii="宋体" w:hAnsi="宋体"/>
          <w:color w:val="auto"/>
          <w:szCs w:val="21"/>
          <w:highlight w:val="none"/>
        </w:rPr>
      </w:pPr>
      <w:r>
        <w:rPr>
          <w:rFonts w:hint="eastAsia" w:ascii="宋体" w:hAnsi="宋体"/>
          <w:color w:val="auto"/>
          <w:szCs w:val="21"/>
          <w:highlight w:val="none"/>
        </w:rPr>
        <w:br w:type="page"/>
      </w:r>
    </w:p>
    <w:p w14:paraId="3D0A5FFF">
      <w:pPr>
        <w:pStyle w:val="8"/>
        <w:rPr>
          <w:b/>
          <w:bCs/>
          <w:color w:val="auto"/>
          <w:highlight w:val="none"/>
        </w:rPr>
      </w:pPr>
      <w:r>
        <w:rPr>
          <w:rFonts w:hint="eastAsia"/>
          <w:b/>
          <w:bCs/>
          <w:color w:val="auto"/>
          <w:highlight w:val="none"/>
        </w:rPr>
        <w:t>格式三：</w:t>
      </w:r>
    </w:p>
    <w:p w14:paraId="62F40A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21C9D06">
      <w:pPr>
        <w:spacing w:line="360" w:lineRule="auto"/>
        <w:ind w:firstLine="3512" w:firstLineChars="1666"/>
        <w:rPr>
          <w:rFonts w:ascii="宋体" w:hAnsi="宋体" w:cs="宋体"/>
          <w:b/>
          <w:color w:val="auto"/>
          <w:szCs w:val="21"/>
          <w:highlight w:val="none"/>
        </w:rPr>
      </w:pPr>
    </w:p>
    <w:p w14:paraId="43B6720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0818AEF8">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27819CC3">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1115C5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536EA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287A0A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2.主合同约定的应 当缴纳履约保证金的情形</w:t>
      </w:r>
      <w:r>
        <w:rPr>
          <w:rFonts w:hint="eastAsia" w:ascii="宋体" w:hAnsi="宋体" w:cs="宋体"/>
          <w:color w:val="auto"/>
          <w:szCs w:val="21"/>
          <w:highlight w:val="none"/>
          <w:lang w:eastAsia="zh-CN"/>
        </w:rPr>
        <w:t>：</w:t>
      </w:r>
    </w:p>
    <w:p w14:paraId="5AFAA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307B1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643299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5296025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42F2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2BC4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2CF4552D">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59F5C98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3F11EE6E">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60AD3E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429561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659E9172">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46C5B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0B012BF">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258870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278E4E4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8E4242E">
      <w:pPr>
        <w:rPr>
          <w:rFonts w:ascii="宋体" w:hAnsi="宋体" w:cs="宋体"/>
          <w:color w:val="auto"/>
          <w:szCs w:val="21"/>
          <w:highlight w:val="none"/>
        </w:rPr>
      </w:pPr>
      <w:r>
        <w:rPr>
          <w:rFonts w:hint="eastAsia" w:ascii="宋体" w:hAnsi="宋体" w:cs="宋体"/>
          <w:color w:val="auto"/>
          <w:szCs w:val="21"/>
          <w:highlight w:val="none"/>
        </w:rPr>
        <w:br w:type="page"/>
      </w:r>
    </w:p>
    <w:p w14:paraId="6BAA9A0A">
      <w:pPr>
        <w:pStyle w:val="8"/>
        <w:rPr>
          <w:b/>
          <w:bCs/>
          <w:color w:val="auto"/>
          <w:highlight w:val="none"/>
        </w:rPr>
      </w:pPr>
      <w:r>
        <w:rPr>
          <w:rFonts w:hint="eastAsia"/>
          <w:b/>
          <w:bCs/>
          <w:color w:val="auto"/>
          <w:highlight w:val="none"/>
        </w:rPr>
        <w:t>格式四：</w:t>
      </w:r>
    </w:p>
    <w:p w14:paraId="7286B6D5">
      <w:pPr>
        <w:jc w:val="center"/>
        <w:rPr>
          <w:b/>
          <w:bCs/>
          <w:color w:val="auto"/>
          <w:highlight w:val="none"/>
        </w:rPr>
      </w:pPr>
      <w:r>
        <w:rPr>
          <w:rFonts w:hint="eastAsia"/>
          <w:b/>
          <w:bCs/>
          <w:color w:val="auto"/>
          <w:highlight w:val="none"/>
        </w:rPr>
        <w:t>联合体共同投标协议书</w:t>
      </w:r>
    </w:p>
    <w:p w14:paraId="7B2D1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3C919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1C67E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295082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B8D57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0B2E8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62A6E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3F1AF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auto"/>
          <w:szCs w:val="21"/>
          <w:highlight w:val="none"/>
        </w:rPr>
      </w:pPr>
    </w:p>
    <w:p w14:paraId="7B55D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461FE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18F2C4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081914D">
      <w:pPr>
        <w:spacing w:line="360" w:lineRule="auto"/>
        <w:ind w:firstLine="420" w:firstLineChars="200"/>
        <w:rPr>
          <w:rFonts w:ascii="宋体" w:hAnsi="宋体"/>
          <w:color w:val="auto"/>
          <w:szCs w:val="21"/>
          <w:highlight w:val="none"/>
        </w:rPr>
      </w:pPr>
    </w:p>
    <w:p w14:paraId="60A70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4D5B3141">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1A2D87DD">
      <w:pPr>
        <w:rPr>
          <w:rFonts w:hint="eastAsia"/>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4"/>
      <w:pBdr>
        <w:bottom w:val="single" w:color="auto" w:sz="4" w:space="1"/>
      </w:pBdr>
      <w:jc w:val="center"/>
      <w:rPr>
        <w:rFonts w:hint="eastAsia" w:eastAsia="宋体"/>
        <w:lang w:eastAsia="zh-CN"/>
      </w:rPr>
    </w:pPr>
    <w:r>
      <w:rPr>
        <w:rFonts w:hint="eastAsia"/>
        <w:lang w:eastAsia="zh-CN"/>
      </w:rPr>
      <w:t>东莞市沙田镇第二幼儿园饭堂食材配送项目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F3851CDE"/>
    <w:multiLevelType w:val="singleLevel"/>
    <w:tmpl w:val="F3851CDE"/>
    <w:lvl w:ilvl="0" w:tentative="0">
      <w:start w:val="2"/>
      <w:numFmt w:val="chineseCounting"/>
      <w:suff w:val="nothing"/>
      <w:lvlText w:val="%1、"/>
      <w:lvlJc w:val="left"/>
      <w:rPr>
        <w:rFonts w:hint="eastAsia"/>
      </w:rPr>
    </w:lvl>
  </w:abstractNum>
  <w:abstractNum w:abstractNumId="2">
    <w:nsid w:val="F73DC5D7"/>
    <w:multiLevelType w:val="singleLevel"/>
    <w:tmpl w:val="F73DC5D7"/>
    <w:lvl w:ilvl="0" w:tentative="0">
      <w:start w:val="1"/>
      <w:numFmt w:val="decimal"/>
      <w:suff w:val="nothing"/>
      <w:lvlText w:val="（%1）"/>
      <w:lvlJc w:val="left"/>
      <w:pPr>
        <w:ind w:left="660"/>
      </w:pPr>
    </w:lvl>
  </w:abstractNum>
  <w:abstractNum w:abstractNumId="3">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06CABF7"/>
    <w:multiLevelType w:val="singleLevel"/>
    <w:tmpl w:val="206CABF7"/>
    <w:lvl w:ilvl="0" w:tentative="0">
      <w:start w:val="1"/>
      <w:numFmt w:val="decimal"/>
      <w:suff w:val="nothing"/>
      <w:lvlText w:val="（%1）"/>
      <w:lvlJc w:val="left"/>
    </w:lvl>
  </w:abstractNum>
  <w:abstractNum w:abstractNumId="5">
    <w:nsid w:val="32E25990"/>
    <w:multiLevelType w:val="singleLevel"/>
    <w:tmpl w:val="32E25990"/>
    <w:lvl w:ilvl="0" w:tentative="0">
      <w:start w:val="1"/>
      <w:numFmt w:val="decimal"/>
      <w:suff w:val="nothing"/>
      <w:lvlText w:val="%1、"/>
      <w:lvlJc w:val="left"/>
    </w:lvl>
  </w:abstractNum>
  <w:abstractNum w:abstractNumId="6">
    <w:nsid w:val="3F88662E"/>
    <w:multiLevelType w:val="singleLevel"/>
    <w:tmpl w:val="3F88662E"/>
    <w:lvl w:ilvl="0" w:tentative="0">
      <w:start w:val="1"/>
      <w:numFmt w:val="decimal"/>
      <w:suff w:val="space"/>
      <w:lvlText w:val="%1)"/>
      <w:lvlJc w:val="left"/>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B37AA6"/>
    <w:rsid w:val="03DB3CD5"/>
    <w:rsid w:val="0428632B"/>
    <w:rsid w:val="04BC008C"/>
    <w:rsid w:val="057C5CF6"/>
    <w:rsid w:val="05BE394B"/>
    <w:rsid w:val="05FF4B65"/>
    <w:rsid w:val="07342FC6"/>
    <w:rsid w:val="074327A4"/>
    <w:rsid w:val="077D7077"/>
    <w:rsid w:val="08F278CA"/>
    <w:rsid w:val="09607B52"/>
    <w:rsid w:val="0AAB1D08"/>
    <w:rsid w:val="0ABF7992"/>
    <w:rsid w:val="0B5B7E94"/>
    <w:rsid w:val="0B696582"/>
    <w:rsid w:val="0BFE6C9A"/>
    <w:rsid w:val="0C502C33"/>
    <w:rsid w:val="0CD41D0B"/>
    <w:rsid w:val="0DE142A9"/>
    <w:rsid w:val="0EF848CF"/>
    <w:rsid w:val="0F1622A5"/>
    <w:rsid w:val="0FE07C22"/>
    <w:rsid w:val="0FF74C38"/>
    <w:rsid w:val="11073AB6"/>
    <w:rsid w:val="121918AE"/>
    <w:rsid w:val="126E350F"/>
    <w:rsid w:val="131751AB"/>
    <w:rsid w:val="134613DE"/>
    <w:rsid w:val="14883EEC"/>
    <w:rsid w:val="15380D0C"/>
    <w:rsid w:val="161909DD"/>
    <w:rsid w:val="16D25464"/>
    <w:rsid w:val="178164D0"/>
    <w:rsid w:val="18062A99"/>
    <w:rsid w:val="1AEC283E"/>
    <w:rsid w:val="1B1264AF"/>
    <w:rsid w:val="1B1D36EC"/>
    <w:rsid w:val="1BBB674D"/>
    <w:rsid w:val="1BE705BF"/>
    <w:rsid w:val="1C5D538D"/>
    <w:rsid w:val="1D604962"/>
    <w:rsid w:val="1D8F07A5"/>
    <w:rsid w:val="1DAD4980"/>
    <w:rsid w:val="1DB725C0"/>
    <w:rsid w:val="1E440D57"/>
    <w:rsid w:val="20332F5E"/>
    <w:rsid w:val="209314D4"/>
    <w:rsid w:val="20B878FA"/>
    <w:rsid w:val="222F0229"/>
    <w:rsid w:val="228E0ACF"/>
    <w:rsid w:val="23477A98"/>
    <w:rsid w:val="244868B3"/>
    <w:rsid w:val="25715CA1"/>
    <w:rsid w:val="269A0871"/>
    <w:rsid w:val="26C51C7F"/>
    <w:rsid w:val="28205390"/>
    <w:rsid w:val="2A213986"/>
    <w:rsid w:val="2A6C3AA2"/>
    <w:rsid w:val="2B57233C"/>
    <w:rsid w:val="2CC67252"/>
    <w:rsid w:val="2D3A4F1C"/>
    <w:rsid w:val="2DE33D62"/>
    <w:rsid w:val="2E265EFC"/>
    <w:rsid w:val="2E462ABD"/>
    <w:rsid w:val="2F4F681A"/>
    <w:rsid w:val="2F500B27"/>
    <w:rsid w:val="2F91569A"/>
    <w:rsid w:val="2FC040E2"/>
    <w:rsid w:val="2FE55D43"/>
    <w:rsid w:val="307F3FB1"/>
    <w:rsid w:val="30C474C2"/>
    <w:rsid w:val="3158095E"/>
    <w:rsid w:val="31ED0D4A"/>
    <w:rsid w:val="34831B82"/>
    <w:rsid w:val="34BE4BEB"/>
    <w:rsid w:val="354A5B32"/>
    <w:rsid w:val="35C1129C"/>
    <w:rsid w:val="36D33616"/>
    <w:rsid w:val="372D3A3D"/>
    <w:rsid w:val="373F6180"/>
    <w:rsid w:val="37423885"/>
    <w:rsid w:val="37A82279"/>
    <w:rsid w:val="37E136FA"/>
    <w:rsid w:val="3A1D0C19"/>
    <w:rsid w:val="3ADC34C9"/>
    <w:rsid w:val="3B2A432E"/>
    <w:rsid w:val="3BB103BF"/>
    <w:rsid w:val="3C8E00EA"/>
    <w:rsid w:val="3E0202C6"/>
    <w:rsid w:val="3E435054"/>
    <w:rsid w:val="3F0A76BA"/>
    <w:rsid w:val="3FCF26C6"/>
    <w:rsid w:val="401711CC"/>
    <w:rsid w:val="418470C8"/>
    <w:rsid w:val="41B76B6F"/>
    <w:rsid w:val="422E2420"/>
    <w:rsid w:val="42D6466E"/>
    <w:rsid w:val="43143B39"/>
    <w:rsid w:val="43585670"/>
    <w:rsid w:val="438833C2"/>
    <w:rsid w:val="43DA2B56"/>
    <w:rsid w:val="45FC0450"/>
    <w:rsid w:val="460D74FE"/>
    <w:rsid w:val="468A6BFD"/>
    <w:rsid w:val="47735BD0"/>
    <w:rsid w:val="47BB609D"/>
    <w:rsid w:val="47CA196A"/>
    <w:rsid w:val="481D3236"/>
    <w:rsid w:val="498145E0"/>
    <w:rsid w:val="499A72FA"/>
    <w:rsid w:val="4A9D4422"/>
    <w:rsid w:val="4BD46AA8"/>
    <w:rsid w:val="4BE07E65"/>
    <w:rsid w:val="4C0672A7"/>
    <w:rsid w:val="4C573AD4"/>
    <w:rsid w:val="4C652857"/>
    <w:rsid w:val="4C7D20F5"/>
    <w:rsid w:val="4CA97184"/>
    <w:rsid w:val="4D154CC3"/>
    <w:rsid w:val="4DAA2866"/>
    <w:rsid w:val="4DF06083"/>
    <w:rsid w:val="4F2676D5"/>
    <w:rsid w:val="5112378D"/>
    <w:rsid w:val="51A44998"/>
    <w:rsid w:val="51F76A46"/>
    <w:rsid w:val="52285DEB"/>
    <w:rsid w:val="525B07C5"/>
    <w:rsid w:val="52E14EC4"/>
    <w:rsid w:val="530C395F"/>
    <w:rsid w:val="53710418"/>
    <w:rsid w:val="53F51E89"/>
    <w:rsid w:val="54842E0E"/>
    <w:rsid w:val="54D338A8"/>
    <w:rsid w:val="57106398"/>
    <w:rsid w:val="575612E0"/>
    <w:rsid w:val="57EE60DD"/>
    <w:rsid w:val="584C37AF"/>
    <w:rsid w:val="590C3D43"/>
    <w:rsid w:val="59FC48EA"/>
    <w:rsid w:val="5ADC1C9D"/>
    <w:rsid w:val="5B812734"/>
    <w:rsid w:val="5BE04967"/>
    <w:rsid w:val="5C015C21"/>
    <w:rsid w:val="5CD86660"/>
    <w:rsid w:val="5D0452DC"/>
    <w:rsid w:val="5D212B71"/>
    <w:rsid w:val="5D744988"/>
    <w:rsid w:val="5E4B177F"/>
    <w:rsid w:val="5E720F58"/>
    <w:rsid w:val="5F484092"/>
    <w:rsid w:val="60880EB5"/>
    <w:rsid w:val="622349C8"/>
    <w:rsid w:val="62B5566E"/>
    <w:rsid w:val="638F2DC6"/>
    <w:rsid w:val="64344366"/>
    <w:rsid w:val="64793AA3"/>
    <w:rsid w:val="64CC32C3"/>
    <w:rsid w:val="64D3048A"/>
    <w:rsid w:val="65851F87"/>
    <w:rsid w:val="665212BA"/>
    <w:rsid w:val="66CA48D2"/>
    <w:rsid w:val="66D15F0C"/>
    <w:rsid w:val="67403D9A"/>
    <w:rsid w:val="685A1BEE"/>
    <w:rsid w:val="687065DC"/>
    <w:rsid w:val="68733C76"/>
    <w:rsid w:val="68BE495C"/>
    <w:rsid w:val="69FB3BA8"/>
    <w:rsid w:val="6AC87D14"/>
    <w:rsid w:val="6B43733C"/>
    <w:rsid w:val="6CA332C1"/>
    <w:rsid w:val="6E003853"/>
    <w:rsid w:val="6ECE5FF3"/>
    <w:rsid w:val="6ED74C74"/>
    <w:rsid w:val="6F566CB3"/>
    <w:rsid w:val="70832ED7"/>
    <w:rsid w:val="7152191D"/>
    <w:rsid w:val="7169749E"/>
    <w:rsid w:val="717F42C4"/>
    <w:rsid w:val="723E737F"/>
    <w:rsid w:val="73044836"/>
    <w:rsid w:val="74951BFB"/>
    <w:rsid w:val="74F71418"/>
    <w:rsid w:val="75AA330D"/>
    <w:rsid w:val="777273A0"/>
    <w:rsid w:val="7B507070"/>
    <w:rsid w:val="7B603624"/>
    <w:rsid w:val="7CDC3279"/>
    <w:rsid w:val="7E3E411D"/>
    <w:rsid w:val="7E94117B"/>
    <w:rsid w:val="7EA32264"/>
    <w:rsid w:val="7EE00542"/>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9"/>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2">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37"/>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spacing w:after="100" w:line="276" w:lineRule="auto"/>
      <w:jc w:val="left"/>
    </w:pPr>
    <w:rPr>
      <w:rFonts w:ascii="Times New Roman" w:hAnsi="Times New Roman"/>
      <w:kern w:val="0"/>
      <w:sz w:val="22"/>
    </w:rPr>
  </w:style>
  <w:style w:type="paragraph" w:styleId="16">
    <w:name w:val="footnote text"/>
    <w:basedOn w:val="1"/>
    <w:semiHidden/>
    <w:unhideWhenUsed/>
    <w:qFormat/>
    <w:uiPriority w:val="99"/>
    <w:rPr>
      <w:sz w:val="18"/>
    </w:rPr>
  </w:style>
  <w:style w:type="paragraph" w:styleId="17">
    <w:name w:val="toc 2"/>
    <w:basedOn w:val="1"/>
    <w:next w:val="1"/>
    <w:qFormat/>
    <w:uiPriority w:val="0"/>
    <w:pPr>
      <w:ind w:left="420" w:leftChars="200"/>
    </w:pPr>
  </w:style>
  <w:style w:type="paragraph" w:styleId="18">
    <w:name w:val="Normal (Web)"/>
    <w:basedOn w:val="1"/>
    <w:qFormat/>
    <w:uiPriority w:val="99"/>
    <w:rPr>
      <w:rFonts w:ascii="Times New Roman" w:hAnsi="Times New Roman" w:eastAsia="宋体" w:cs="Times New Roman"/>
      <w:sz w:val="24"/>
      <w:szCs w:val="20"/>
      <w:lang w:val="zh-CN"/>
    </w:rPr>
  </w:style>
  <w:style w:type="paragraph" w:styleId="19">
    <w:name w:val="Body Text First Indent 2"/>
    <w:basedOn w:val="9"/>
    <w:autoRedefine/>
    <w:qFormat/>
    <w:uiPriority w:val="0"/>
    <w:pPr>
      <w:spacing w:line="360" w:lineRule="auto"/>
      <w:ind w:firstLine="420" w:firstLineChars="200"/>
    </w:pPr>
    <w:rPr>
      <w:bCs/>
      <w:szCs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autoRedefine/>
    <w:qFormat/>
    <w:uiPriority w:val="99"/>
    <w:rPr>
      <w:color w:val="0000FF"/>
      <w:u w:val="single"/>
    </w:rPr>
  </w:style>
  <w:style w:type="character" w:styleId="25">
    <w:name w:val="annotation reference"/>
    <w:basedOn w:val="22"/>
    <w:autoRedefine/>
    <w:qFormat/>
    <w:uiPriority w:val="0"/>
    <w:rPr>
      <w:sz w:val="21"/>
      <w:szCs w:val="21"/>
    </w:rPr>
  </w:style>
  <w:style w:type="character" w:styleId="26">
    <w:name w:val="footnote reference"/>
    <w:basedOn w:val="22"/>
    <w:semiHidden/>
    <w:unhideWhenUsed/>
    <w:qFormat/>
    <w:uiPriority w:val="99"/>
    <w:rPr>
      <w:vertAlign w:val="superscript"/>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autoRedefine/>
    <w:qFormat/>
    <w:uiPriority w:val="34"/>
    <w:pPr>
      <w:ind w:firstLine="420" w:firstLineChars="200"/>
    </w:pPr>
  </w:style>
  <w:style w:type="character" w:customStyle="1" w:styleId="29">
    <w:name w:val="标题 1 Char"/>
    <w:link w:val="3"/>
    <w:autoRedefine/>
    <w:qFormat/>
    <w:uiPriority w:val="0"/>
    <w:rPr>
      <w:b/>
      <w:kern w:val="44"/>
      <w:sz w:val="30"/>
    </w:rPr>
  </w:style>
  <w:style w:type="paragraph" w:customStyle="1" w:styleId="30">
    <w:name w:val="Table Paragraph"/>
    <w:basedOn w:val="1"/>
    <w:autoRedefine/>
    <w:qFormat/>
    <w:uiPriority w:val="1"/>
  </w:style>
  <w:style w:type="paragraph" w:customStyle="1" w:styleId="31">
    <w:name w:val="正文缩进2格"/>
    <w:basedOn w:val="32"/>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32">
    <w:name w:val="正文1"/>
    <w:basedOn w:val="1"/>
    <w:qFormat/>
    <w:uiPriority w:val="0"/>
    <w:pPr>
      <w:spacing w:before="60" w:after="60" w:line="360" w:lineRule="auto"/>
      <w:outlineLvl w:val="6"/>
    </w:pPr>
    <w:rPr>
      <w:sz w:val="24"/>
      <w:szCs w:val="24"/>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6">
    <w:name w:val="列出段落1"/>
    <w:basedOn w:val="1"/>
    <w:autoRedefine/>
    <w:qFormat/>
    <w:uiPriority w:val="0"/>
    <w:pPr>
      <w:ind w:firstLine="420" w:firstLineChars="200"/>
    </w:pPr>
    <w:rPr>
      <w:rFonts w:ascii="Calibri" w:hAnsi="Calibri"/>
      <w:kern w:val="0"/>
      <w:sz w:val="20"/>
      <w:szCs w:val="20"/>
    </w:rPr>
  </w:style>
  <w:style w:type="character" w:customStyle="1" w:styleId="37">
    <w:name w:val="批注框文本 Char"/>
    <w:basedOn w:val="22"/>
    <w:link w:val="12"/>
    <w:autoRedefine/>
    <w:qFormat/>
    <w:uiPriority w:val="0"/>
    <w:rPr>
      <w:rFonts w:asciiTheme="minorHAnsi" w:hAnsiTheme="minorHAnsi" w:cstheme="minorBidi"/>
      <w:kern w:val="2"/>
      <w:sz w:val="18"/>
      <w:szCs w:val="18"/>
    </w:rPr>
  </w:style>
  <w:style w:type="paragraph" w:customStyle="1" w:styleId="38">
    <w:name w:val="Other|1"/>
    <w:basedOn w:val="1"/>
    <w:autoRedefine/>
    <w:qFormat/>
    <w:uiPriority w:val="0"/>
    <w:pPr>
      <w:jc w:val="center"/>
    </w:pPr>
    <w:rPr>
      <w:rFonts w:ascii="宋体" w:hAnsi="宋体" w:cs="宋体"/>
      <w:sz w:val="14"/>
      <w:szCs w:val="14"/>
      <w:lang w:val="zh-TW" w:eastAsia="zh-TW" w:bidi="zh-TW"/>
    </w:rPr>
  </w:style>
  <w:style w:type="paragraph" w:customStyle="1" w:styleId="39">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40">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41">
    <w:name w:val="font21"/>
    <w:basedOn w:val="22"/>
    <w:autoRedefine/>
    <w:qFormat/>
    <w:uiPriority w:val="0"/>
    <w:rPr>
      <w:rFonts w:ascii="宋体" w:hAnsi="宋体" w:eastAsia="宋体" w:cs="宋体"/>
      <w:color w:val="000000"/>
      <w:sz w:val="18"/>
      <w:szCs w:val="18"/>
      <w:u w:val="none"/>
    </w:rPr>
  </w:style>
  <w:style w:type="character" w:customStyle="1" w:styleId="42">
    <w:name w:val="font41"/>
    <w:basedOn w:val="22"/>
    <w:autoRedefine/>
    <w:qFormat/>
    <w:uiPriority w:val="0"/>
    <w:rPr>
      <w:rFonts w:hint="default" w:ascii="Times New Roman" w:hAnsi="Times New Roman" w:cs="Times New Roman"/>
      <w:color w:val="000000"/>
      <w:sz w:val="20"/>
      <w:szCs w:val="20"/>
      <w:u w:val="none"/>
    </w:rPr>
  </w:style>
  <w:style w:type="character" w:customStyle="1" w:styleId="43">
    <w:name w:val="font51"/>
    <w:basedOn w:val="22"/>
    <w:autoRedefine/>
    <w:qFormat/>
    <w:uiPriority w:val="0"/>
    <w:rPr>
      <w:rFonts w:hint="eastAsia" w:ascii="宋体" w:hAnsi="宋体" w:eastAsia="宋体" w:cs="宋体"/>
      <w:color w:val="000000"/>
      <w:sz w:val="20"/>
      <w:szCs w:val="20"/>
      <w:u w:val="none"/>
      <w:vertAlign w:val="superscript"/>
    </w:rPr>
  </w:style>
  <w:style w:type="character" w:customStyle="1" w:styleId="44">
    <w:name w:val="font11"/>
    <w:basedOn w:val="22"/>
    <w:autoRedefine/>
    <w:qFormat/>
    <w:uiPriority w:val="0"/>
    <w:rPr>
      <w:rFonts w:hint="eastAsia" w:ascii="宋体" w:hAnsi="宋体" w:eastAsia="宋体" w:cs="宋体"/>
      <w:color w:val="000000"/>
      <w:sz w:val="20"/>
      <w:szCs w:val="20"/>
      <w:u w:val="none"/>
    </w:rPr>
  </w:style>
  <w:style w:type="character" w:customStyle="1" w:styleId="45">
    <w:name w:val="font61"/>
    <w:basedOn w:val="22"/>
    <w:autoRedefine/>
    <w:qFormat/>
    <w:uiPriority w:val="0"/>
    <w:rPr>
      <w:rFonts w:hint="default" w:ascii="Times New Roman" w:hAnsi="Times New Roman" w:cs="Times New Roman"/>
      <w:color w:val="000000"/>
      <w:sz w:val="20"/>
      <w:szCs w:val="20"/>
      <w:u w:val="none"/>
      <w:vertAlign w:val="superscript"/>
    </w:rPr>
  </w:style>
  <w:style w:type="paragraph" w:customStyle="1" w:styleId="46">
    <w:name w:val="Normal"/>
    <w:qFormat/>
    <w:uiPriority w:val="0"/>
    <w:pPr>
      <w:jc w:val="both"/>
    </w:pPr>
    <w:rPr>
      <w:rFonts w:ascii="Calibri" w:hAnsi="Calibri" w:eastAsia="宋体" w:cs="Calibri"/>
      <w:kern w:val="2"/>
      <w:sz w:val="21"/>
      <w:szCs w:val="21"/>
      <w:lang w:val="en-US" w:eastAsia="zh-CN" w:bidi="ar-SA"/>
    </w:rPr>
  </w:style>
  <w:style w:type="paragraph" w:customStyle="1" w:styleId="47">
    <w:name w:val="null3"/>
    <w:hidden/>
    <w:qFormat/>
    <w:uiPriority w:val="0"/>
    <w:rPr>
      <w:rFonts w:hint="eastAsia" w:asciiTheme="minorHAnsi" w:hAnsiTheme="minorHAnsi" w:eastAsiaTheme="minorEastAsia" w:cstheme="minorBidi"/>
      <w:lang w:val="en-US" w:eastAsia="zh-Hans"/>
    </w:rPr>
  </w:style>
  <w:style w:type="character" w:customStyle="1" w:styleId="48">
    <w:name w:val="font31"/>
    <w:qFormat/>
    <w:uiPriority w:val="0"/>
    <w:rPr>
      <w:rFonts w:hint="eastAsia" w:ascii="新宋体" w:hAnsi="新宋体" w:eastAsia="新宋体" w:cs="新宋体"/>
      <w:color w:val="000000"/>
      <w:sz w:val="21"/>
      <w:szCs w:val="21"/>
      <w:u w:val="none"/>
    </w:rPr>
  </w:style>
  <w:style w:type="character" w:customStyle="1" w:styleId="49">
    <w:name w:val="font01"/>
    <w:qFormat/>
    <w:uiPriority w:val="0"/>
    <w:rPr>
      <w:rFonts w:hint="eastAsia" w:ascii="宋体" w:hAnsi="宋体" w:eastAsia="宋体" w:cs="宋体"/>
      <w:color w:val="000000"/>
      <w:sz w:val="20"/>
      <w:szCs w:val="20"/>
      <w:u w:val="none"/>
    </w:rPr>
  </w:style>
  <w:style w:type="paragraph" w:customStyle="1" w:styleId="50">
    <w:name w:val="Normal-1"/>
    <w:basedOn w:val="1"/>
    <w:qFormat/>
    <w:uiPriority w:val="0"/>
    <w:pPr>
      <w:spacing w:after="156" w:afterLines="50" w:line="312" w:lineRule="auto"/>
      <w:ind w:firstLine="200" w:firstLineChars="200"/>
    </w:pPr>
    <w:rPr>
      <w:rFonts w:ascii="Arial" w:hAnsi="Arial" w:cs="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80</Pages>
  <Words>8622</Words>
  <Characters>9049</Characters>
  <Lines>343</Lines>
  <Paragraphs>96</Paragraphs>
  <TotalTime>0</TotalTime>
  <ScaleCrop>false</ScaleCrop>
  <LinksUpToDate>false</LinksUpToDate>
  <CharactersWithSpaces>9212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2025-04-30T09:17:00Z</cp:lastPrinted>
  <dcterms:modified xsi:type="dcterms:W3CDTF">2025-09-01T03:50:10Z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9E8FF84404EF45BE9D264938B9F66079_13</vt:lpwstr>
  </property>
  <property fmtid="{D5CDD505-2E9C-101B-9397-08002B2CF9AE}" pid="4" name="KSOTemplateDocerSaveRecord">
    <vt:lpwstr>eyJoZGlkIjoiNmM1MDBkMjlmY2UwNzIwYjliNzE3ZDM5ZDYxNGMzYjgiLCJ1c2VySWQiOiIzNTk2Mjk2NzAifQ==</vt:lpwstr>
  </property>
</Properties>
</file>